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129</w:t>
      </w:r>
      <w:r>
        <w:rPr>
          <w:b/>
          <w:sz w:val="24"/>
        </w:rPr>
        <w:fldChar w:fldCharType="end"/>
      </w:r>
      <w:r>
        <w:rPr>
          <w:rFonts w:hint="eastAsia" w:eastAsia="宋体"/>
          <w:b/>
          <w:sz w:val="24"/>
          <w:lang w:val="en-US" w:eastAsia="zh-CN"/>
        </w:rPr>
        <w:t>-bis</w:t>
      </w:r>
      <w:r>
        <w:fldChar w:fldCharType="begin"/>
      </w:r>
      <w:r>
        <w:instrText xml:space="preserve"> DOCPROPERTY  MtgTitle  \* MERGEFORMAT </w:instrText>
      </w:r>
      <w:r>
        <w:fldChar w:fldCharType="separate"/>
      </w:r>
      <w:r>
        <w:fldChar w:fldCharType="end"/>
      </w:r>
      <w:r>
        <w:rPr>
          <w:b/>
          <w:i/>
          <w:sz w:val="28"/>
        </w:rPr>
        <w:tab/>
      </w:r>
      <w:r>
        <w:rPr>
          <w:rFonts w:hint="eastAsia"/>
          <w:b/>
          <w:i/>
          <w:sz w:val="28"/>
        </w:rPr>
        <w:t>R3-25662</w:t>
      </w:r>
      <w:r>
        <w:rPr>
          <w:b/>
          <w:i/>
          <w:sz w:val="28"/>
        </w:rPr>
        <w:t>7</w:t>
      </w:r>
    </w:p>
    <w:p w14:paraId="47989A0C">
      <w:pPr>
        <w:pStyle w:val="3"/>
        <w:rPr>
          <w:rFonts w:eastAsia="Yu Mincho"/>
          <w:bCs/>
          <w:sz w:val="24"/>
        </w:rPr>
      </w:pPr>
      <w:r>
        <w:rPr>
          <w:rFonts w:hint="eastAsia" w:eastAsia="Yu Mincho"/>
          <w:bCs/>
          <w:sz w:val="24"/>
        </w:rPr>
        <w:t>Prague, Czech Republic, Oct 13 – 17, 2025</w:t>
      </w:r>
    </w:p>
    <w:p w14:paraId="33CA47EA">
      <w:pPr>
        <w:pStyle w:val="92"/>
        <w:tabs>
          <w:tab w:val="left" w:pos="1985"/>
        </w:tabs>
        <w:rPr>
          <w:rFonts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10</w:t>
      </w:r>
      <w:r>
        <w:rPr>
          <w:rFonts w:cs="Arial"/>
          <w:b/>
          <w:bCs/>
          <w:sz w:val="24"/>
          <w:lang w:val="en-US" w:eastAsia="ja-JP"/>
        </w:rPr>
        <w:t>.2</w:t>
      </w:r>
      <w:r>
        <w:rPr>
          <w:rFonts w:hint="eastAsia" w:eastAsia="宋体" w:cs="Arial"/>
          <w:b/>
          <w:bCs/>
          <w:sz w:val="24"/>
          <w:lang w:val="en-US" w:eastAsia="zh-CN"/>
        </w:rPr>
        <w:t>.2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ascii="Arial" w:hAnsi="Arial" w:cs="Arial"/>
          <w:b/>
          <w:bCs/>
          <w:sz w:val="24"/>
        </w:rPr>
        <w:t>AI/ML for Network in 6G Use Cases</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5E8385BD">
      <w:pPr>
        <w:pStyle w:val="2"/>
      </w:pPr>
      <w:r>
        <w:t>1</w:t>
      </w:r>
      <w:r>
        <w:tab/>
      </w:r>
      <w:r>
        <w:t>Introduction</w:t>
      </w:r>
    </w:p>
    <w:p w14:paraId="56520772">
      <w:pPr>
        <w:spacing w:before="240" w:after="240"/>
        <w:rPr>
          <w:rFonts w:eastAsia="Times New Roman"/>
          <w:lang w:val="en-US"/>
        </w:rPr>
      </w:pPr>
      <w:r>
        <w:rPr>
          <w:rFonts w:eastAsia="Times New Roman"/>
        </w:rPr>
        <w:t>AI/ML is expected to be a native capability in 6G, supporting both the optimization of RAN operation (</w:t>
      </w:r>
      <w:r>
        <w:rPr>
          <w:rFonts w:eastAsia="Times New Roman"/>
          <w:i/>
        </w:rPr>
        <w:t>AI for RAN</w:t>
      </w:r>
      <w:r>
        <w:rPr>
          <w:rFonts w:eastAsia="Times New Roman"/>
        </w:rPr>
        <w:t>) and enabling AI-driven services (</w:t>
      </w:r>
      <w:r>
        <w:rPr>
          <w:rFonts w:eastAsia="Times New Roman"/>
          <w:i/>
        </w:rPr>
        <w:t>RAN for AI</w:t>
      </w:r>
      <w:r>
        <w:rPr>
          <w:rFonts w:eastAsia="Times New Roman"/>
        </w:rPr>
        <w:t>). From a RAN3 perspective, this raises questions about how AI/ML-related functions may interact with RAN–CN procedures, inter-node signaling, and CU–DU coordination.</w:t>
      </w:r>
    </w:p>
    <w:p w14:paraId="23F49049">
      <w:pPr>
        <w:spacing w:before="240" w:after="240"/>
        <w:rPr>
          <w:rFonts w:eastAsia="Times New Roman"/>
        </w:rPr>
      </w:pPr>
      <w:r>
        <w:rPr>
          <w:rFonts w:eastAsia="Times New Roman"/>
        </w:rPr>
        <w:t>Moving to 6G, the study items highlight that AI/ML will be one of the major drivers of the RAN architecture, requiring scalable and low-latency data handling:</w:t>
      </w:r>
    </w:p>
    <w:p w14:paraId="784FFB43">
      <w:pPr>
        <w:numPr>
          <w:ilvl w:val="0"/>
          <w:numId w:val="4"/>
        </w:numPr>
        <w:spacing w:before="240" w:after="0" w:line="276" w:lineRule="auto"/>
      </w:pPr>
      <w:r>
        <w:rPr>
          <w:rFonts w:eastAsia="Times New Roman"/>
        </w:rPr>
        <w:t xml:space="preserve">The </w:t>
      </w:r>
      <w:r>
        <w:rPr>
          <w:rFonts w:eastAsia="Times New Roman"/>
          <w:b/>
        </w:rPr>
        <w:t>6G RAN SID [RP-252912]</w:t>
      </w:r>
      <w:r>
        <w:rPr>
          <w:rFonts w:eastAsia="Times New Roman"/>
        </w:rPr>
        <w:t xml:space="preserve"> identifies RAN3 responsibilities on </w:t>
      </w:r>
      <w:r>
        <w:rPr>
          <w:rFonts w:eastAsia="Times New Roman"/>
          <w:i/>
        </w:rPr>
        <w:t>“Radio Access Network architecture, interface protocols and procedures considering support of various services and functionalities (e.g., AI/ML, …),”</w:t>
      </w:r>
      <w:r>
        <w:rPr>
          <w:rFonts w:eastAsia="Times New Roman"/>
        </w:rPr>
        <w:t xml:space="preserve"> and further notes that </w:t>
      </w:r>
      <w:r>
        <w:rPr>
          <w:rFonts w:eastAsia="Times New Roman"/>
          <w:i/>
        </w:rPr>
        <w:t>“Data collection and data management, in coordination with SA WGs [RAN2, RAN3, RAN1],”</w:t>
      </w:r>
      <w:r>
        <w:rPr>
          <w:rFonts w:eastAsia="Times New Roman"/>
        </w:rPr>
        <w:t xml:space="preserve"> are key aspects of the AI/ML framework.</w:t>
      </w:r>
      <w:r>
        <w:rPr>
          <w:rFonts w:eastAsia="Times New Roman"/>
        </w:rPr>
        <w:br w:type="textWrapping"/>
      </w:r>
    </w:p>
    <w:p w14:paraId="2F6722C4">
      <w:pPr>
        <w:numPr>
          <w:ilvl w:val="0"/>
          <w:numId w:val="4"/>
        </w:numPr>
        <w:spacing w:after="240" w:line="276" w:lineRule="auto"/>
      </w:pPr>
      <w:r>
        <w:rPr>
          <w:rFonts w:eastAsia="Times New Roman"/>
        </w:rPr>
        <w:t xml:space="preserve">The </w:t>
      </w:r>
      <w:r>
        <w:rPr>
          <w:rFonts w:eastAsia="Times New Roman"/>
          <w:b/>
        </w:rPr>
        <w:t>6G SA SID [SP-250806]</w:t>
      </w:r>
      <w:r>
        <w:rPr>
          <w:rFonts w:eastAsia="Times New Roman"/>
        </w:rPr>
        <w:t xml:space="preserve"> includes a Work Task on </w:t>
      </w:r>
      <w:r>
        <w:rPr>
          <w:rFonts w:eastAsia="Times New Roman"/>
          <w:i/>
        </w:rPr>
        <w:t>“a data framework for efficient and scalable data handling including, for example, data collection, distribution, processing, storage, data access and data exposure, with consideration of access control/user consent and privacy where relevant. The example of data may include data for AI.”</w:t>
      </w:r>
    </w:p>
    <w:p w14:paraId="7D2DDC1A">
      <w:pPr>
        <w:spacing w:before="240" w:after="240"/>
        <w:rPr>
          <w:rFonts w:eastAsia="Times New Roman"/>
        </w:rPr>
      </w:pPr>
      <w:r>
        <w:rPr>
          <w:rFonts w:eastAsia="Times New Roman"/>
        </w:rPr>
        <w:t>These references provide a system-level context for how RAN3 may approach AI/ML in 6G, building on existing NR procedures while aligning with ongoing SA and RAN studies. This paper provides a set of candidate use cases to illustrate how AI for Network may have implications for RAN3</w:t>
      </w:r>
    </w:p>
    <w:p w14:paraId="05661A37">
      <w:pPr>
        <w:pStyle w:val="2"/>
      </w:pPr>
      <w:r>
        <w:t>2</w:t>
      </w:r>
      <w:r>
        <w:tab/>
      </w:r>
      <w:r>
        <w:t>Discussion</w:t>
      </w:r>
    </w:p>
    <w:p w14:paraId="6AACFD9E">
      <w:pPr>
        <w:pStyle w:val="4"/>
        <w:rPr>
          <w:b/>
          <w:bCs/>
          <w:lang w:val="en-US"/>
        </w:rPr>
      </w:pPr>
      <w:r>
        <w:rPr>
          <w:b/>
          <w:bCs/>
        </w:rPr>
        <w:t>2.1 Lessons from 5G and Transition to 6G AI/ML in RAN3</w:t>
      </w:r>
    </w:p>
    <w:p w14:paraId="098A80CD">
      <w:pPr>
        <w:pStyle w:val="5"/>
        <w:rPr>
          <w:b/>
          <w:bCs/>
        </w:rPr>
      </w:pPr>
      <w:r>
        <w:rPr>
          <w:b/>
          <w:bCs/>
        </w:rPr>
        <w:t>2.1.1 5G Experience and Observations</w:t>
      </w:r>
    </w:p>
    <w:p w14:paraId="29B01F9B">
      <w:pPr>
        <w:rPr>
          <w:lang w:val="en-US"/>
        </w:rPr>
      </w:pPr>
      <w:r>
        <w:rPr>
          <w:lang w:val="en-US"/>
        </w:rPr>
        <w:t>The Rel-17/18 AI/ML studies in 5G NR surfaced some coordination challenges. Multiple use cases were discussed across different WGs, and in some cases uneven alignment on ownership led to parallel discussions and slower convergence.</w:t>
      </w:r>
    </w:p>
    <w:p w14:paraId="347C680C">
      <w:pPr>
        <w:rPr>
          <w:lang w:val="en-US"/>
        </w:rPr>
      </w:pPr>
      <w:r>
        <w:rPr>
          <w:lang w:val="en-US"/>
        </w:rPr>
        <w:t>For certain topics, RAN3’s progress often depended on definitions being developed in other WGs. Without close coordination, signaling discussions risked moving ahead before the corresponding functionality was fully defined.</w:t>
      </w:r>
    </w:p>
    <w:p w14:paraId="23B06BCE">
      <w:pPr>
        <w:rPr>
          <w:lang w:val="en-US"/>
        </w:rPr>
      </w:pPr>
      <w:r>
        <w:rPr>
          <w:lang w:val="en-US"/>
        </w:rPr>
        <w:t>At the same time, it is expected that there may be cases where RAN3 could take a more central role, particularly where the work is closely tied to signaling procedures under its scope. In such situations, RAN3 may be well positioned to make steady progress once the relevant use cases are identified.</w:t>
      </w:r>
    </w:p>
    <w:p w14:paraId="42247056">
      <w:pPr>
        <w:pStyle w:val="5"/>
        <w:rPr>
          <w:b/>
          <w:bCs/>
          <w:lang w:val="en-US"/>
        </w:rPr>
      </w:pPr>
      <w:r>
        <w:rPr>
          <w:b/>
          <w:bCs/>
          <w:lang w:val="en-US"/>
        </w:rPr>
        <w:t>2.1.2 Considerations for 6G AI/ML Studies</w:t>
      </w:r>
    </w:p>
    <w:p w14:paraId="2D36341C">
      <w:pPr>
        <w:rPr>
          <w:lang w:val="en-US"/>
        </w:rPr>
      </w:pPr>
      <w:r>
        <w:rPr>
          <w:lang w:val="en-US"/>
        </w:rPr>
        <w:t>Looking toward 6G, some general considerations may help avoid similar fragmentation:</w:t>
      </w:r>
    </w:p>
    <w:p w14:paraId="45811137">
      <w:pPr>
        <w:rPr>
          <w:lang w:val="en-US"/>
        </w:rPr>
      </w:pPr>
      <w:r>
        <w:rPr>
          <w:lang w:val="en-US"/>
        </w:rPr>
        <w:t>Separation of responsibilities: It may be useful for each WG to remain focused on its primary scope (e.g., feature/algorithm definition vs. signaling transport).</w:t>
      </w:r>
    </w:p>
    <w:p w14:paraId="1BF5570D">
      <w:pPr>
        <w:rPr>
          <w:lang w:val="en-US"/>
        </w:rPr>
      </w:pPr>
      <w:r>
        <w:rPr>
          <w:lang w:val="en-US"/>
        </w:rPr>
        <w:t>Timeline alignment: RAN3 studies on signaling may progress in step with feature definitions from other WGs, so that feasibility work remains aligned with the availability of inputs.</w:t>
      </w:r>
    </w:p>
    <w:p w14:paraId="1EA9DC5E">
      <w:pPr>
        <w:rPr>
          <w:lang w:val="en-US"/>
        </w:rPr>
      </w:pPr>
      <w:r>
        <w:rPr>
          <w:lang w:val="en-US"/>
        </w:rPr>
        <w:t>Early coordination: Dependencies could be identified early (e.g., through LS exchange) to help avoid duplication or scope creep.</w:t>
      </w:r>
    </w:p>
    <w:p w14:paraId="0F092F93">
      <w:pPr>
        <w:rPr>
          <w:lang w:val="en-US"/>
        </w:rPr>
      </w:pPr>
      <w:r>
        <w:rPr>
          <w:lang w:val="en-US"/>
        </w:rPr>
        <w:t>Future RAN3 topics: Once use cases are defined, RAN3 may consider prioritizing work on areas clearly within its scope, ensuring steady progress in parallel with other WGs.</w:t>
      </w:r>
    </w:p>
    <w:p w14:paraId="6E72C2C9">
      <w:pPr>
        <w:rPr>
          <w:b/>
          <w:bCs/>
          <w:lang w:val="en-US"/>
        </w:rPr>
      </w:pPr>
      <w:r>
        <w:rPr>
          <w:b/>
          <w:bCs/>
          <w:lang w:val="en-US"/>
        </w:rPr>
        <w:t>Observation 1: 5G AI/ML studies highlighted coordination gaps, with RAN3 progress often dependent on other WGs. For 6G, early coordination, clear role separation, and timeline alignment may help reduce fragmentation.</w:t>
      </w:r>
    </w:p>
    <w:p w14:paraId="0F2117DE">
      <w:pPr>
        <w:rPr>
          <w:rFonts w:hint="eastAsia" w:eastAsia="宋体"/>
          <w:lang w:val="en-US" w:eastAsia="zh-CN"/>
        </w:rPr>
      </w:pPr>
      <w:r>
        <w:rPr>
          <w:b/>
          <w:bCs/>
          <w:lang w:val="en-US"/>
        </w:rPr>
        <w:t xml:space="preserve">Proposal 1: </w:t>
      </w:r>
      <w:r>
        <w:rPr>
          <w:rFonts w:hint="eastAsia"/>
          <w:b/>
          <w:bCs/>
        </w:rPr>
        <w:t>RAN3 could, at this stage, focus on identifying high-level requirements, potential complexity, and specification impacts associated with use case studies, while coordinating with other WGs. More detailed studies, such as signaling, can be deferred until sufficient inputs are available</w:t>
      </w:r>
      <w:r>
        <w:rPr>
          <w:rFonts w:hint="eastAsia"/>
          <w:b/>
          <w:bCs/>
          <w:lang w:val="en-US" w:eastAsia="zh-CN"/>
        </w:rPr>
        <w:t>.</w:t>
      </w:r>
    </w:p>
    <w:p w14:paraId="039D6ABB">
      <w:pPr>
        <w:pStyle w:val="4"/>
        <w:rPr>
          <w:b/>
          <w:bCs/>
        </w:rPr>
      </w:pPr>
      <w:r>
        <w:rPr>
          <w:b/>
          <w:bCs/>
        </w:rPr>
        <w:t>2.2 Technical Foundations and Common Aspects for 6G AI/ML in RAN3</w:t>
      </w:r>
    </w:p>
    <w:p w14:paraId="49143B8F">
      <w:pPr>
        <w:pStyle w:val="5"/>
        <w:rPr>
          <w:b/>
          <w:bCs/>
          <w:lang w:val="en-US"/>
        </w:rPr>
      </w:pPr>
      <w:r>
        <w:rPr>
          <w:b/>
          <w:bCs/>
        </w:rPr>
        <w:t>2.2.1 Technical Foundations from 5G</w:t>
      </w:r>
    </w:p>
    <w:p w14:paraId="283DBC8F">
      <w:pPr>
        <w:spacing w:before="240" w:after="240"/>
        <w:rPr>
          <w:rFonts w:eastAsia="Times New Roman"/>
          <w:bCs/>
          <w:lang w:val="en-US"/>
        </w:rPr>
      </w:pPr>
      <w:r>
        <w:rPr>
          <w:rFonts w:eastAsia="Times New Roman"/>
          <w:bCs/>
          <w:lang w:val="en-US"/>
        </w:rPr>
        <w:t>Experience from 5G NR provides several technical foundations that RAN3 can leverage when considering how to support AI/ML in 6G.</w:t>
      </w:r>
    </w:p>
    <w:p w14:paraId="63778B18">
      <w:pPr>
        <w:numPr>
          <w:ilvl w:val="0"/>
          <w:numId w:val="5"/>
        </w:numPr>
        <w:spacing w:before="240" w:after="240" w:line="276" w:lineRule="auto"/>
        <w:rPr>
          <w:rFonts w:eastAsia="Times New Roman"/>
          <w:bCs/>
          <w:lang w:val="en-US"/>
        </w:rPr>
      </w:pPr>
      <w:r>
        <w:rPr>
          <w:rFonts w:eastAsia="Times New Roman"/>
          <w:b/>
          <w:lang w:val="en-US"/>
        </w:rPr>
        <w:t>Data collection and reporting.</w:t>
      </w:r>
      <w:r>
        <w:rPr>
          <w:rFonts w:eastAsia="Times New Roman"/>
          <w:bCs/>
          <w:lang w:val="en-US"/>
        </w:rPr>
        <w:t xml:space="preserve"> Mechanisms such as MDT and QoE reporting demonstrated how information collected at the UE side can be transferred across RAN–CN and CU–DU reference points (e.g., NG and F1). These procedures illustrate the feasibility of large-scale reporting for optimization, while also highlighting trade-offs in granularity, frequency, and overhead that may be amplified for AI/ML-related indicators.</w:t>
      </w:r>
    </w:p>
    <w:p w14:paraId="7C200D0E">
      <w:pPr>
        <w:numPr>
          <w:ilvl w:val="0"/>
          <w:numId w:val="5"/>
        </w:numPr>
        <w:spacing w:before="240" w:after="240" w:line="276" w:lineRule="auto"/>
        <w:rPr>
          <w:rFonts w:eastAsia="Times New Roman"/>
          <w:bCs/>
          <w:lang w:val="en-US"/>
        </w:rPr>
      </w:pPr>
      <w:r>
        <w:rPr>
          <w:rFonts w:eastAsia="Times New Roman"/>
          <w:b/>
          <w:lang w:val="en-US"/>
        </w:rPr>
        <w:t>Feature support indication, configuration, and state reporting</w:t>
      </w:r>
      <w:r>
        <w:rPr>
          <w:rFonts w:eastAsia="Times New Roman"/>
          <w:bCs/>
          <w:lang w:val="en-US"/>
        </w:rPr>
        <w:t>. NR introduced capability signaling and state exposure, enabling operators to configure features and monitor their behavior. This provides a baseline for AI-assisted functions under operator control and offers a starting point for extending similar procedures to AI/ML-specific capabilities in 6G.</w:t>
      </w:r>
    </w:p>
    <w:p w14:paraId="74A1BD28">
      <w:pPr>
        <w:numPr>
          <w:ilvl w:val="0"/>
          <w:numId w:val="5"/>
        </w:numPr>
        <w:spacing w:before="240" w:after="240" w:line="276" w:lineRule="auto"/>
        <w:rPr>
          <w:rFonts w:eastAsia="Times New Roman"/>
          <w:bCs/>
          <w:lang w:val="en-US"/>
        </w:rPr>
      </w:pPr>
      <w:r>
        <w:rPr>
          <w:rFonts w:eastAsia="Times New Roman"/>
          <w:b/>
          <w:lang w:val="en-US"/>
        </w:rPr>
        <w:t>Policy control and performance reporting.</w:t>
      </w:r>
      <w:r>
        <w:rPr>
          <w:rFonts w:eastAsia="Times New Roman"/>
          <w:bCs/>
          <w:lang w:val="en-US"/>
        </w:rPr>
        <w:t xml:space="preserve"> In 5G, coordination between RAN3 and SA5 established principles for exposing RAN performance to higher-level assurance systems. These principles remain relevant in a 6G AI/ML context, where prediction reliability or inference latency may need to be treated as performance indicators.</w:t>
      </w:r>
    </w:p>
    <w:p w14:paraId="7BE29719">
      <w:pPr>
        <w:numPr>
          <w:ilvl w:val="0"/>
          <w:numId w:val="5"/>
        </w:numPr>
        <w:spacing w:before="240" w:after="240" w:line="276" w:lineRule="auto"/>
        <w:rPr>
          <w:rFonts w:eastAsia="Times New Roman"/>
          <w:bCs/>
          <w:lang w:val="en-US"/>
        </w:rPr>
      </w:pPr>
      <w:r>
        <w:rPr>
          <w:rFonts w:eastAsia="Times New Roman"/>
          <w:b/>
          <w:lang w:val="en-US"/>
        </w:rPr>
        <w:t xml:space="preserve">Software and lifecycle management (LCM). </w:t>
      </w:r>
      <w:r>
        <w:rPr>
          <w:rFonts w:eastAsia="Times New Roman"/>
          <w:bCs/>
          <w:lang w:val="en-US"/>
        </w:rPr>
        <w:t>SA5 defined procedures for software/configuration management and lifecycle management. In Rel-19, baseline model transfer procedures were also introduced. These provide a reference for distributing AI/ML models or datasets, but in 6G the scale and frequency of transfers may require closer integration with RAN3 procedures across F1, Xn, and NG.</w:t>
      </w:r>
    </w:p>
    <w:p w14:paraId="3ECB85C1">
      <w:pPr>
        <w:spacing w:before="240" w:after="240"/>
        <w:rPr>
          <w:rFonts w:eastAsia="Times New Roman"/>
          <w:b/>
          <w:lang w:val="en-US"/>
        </w:rPr>
      </w:pPr>
      <w:r>
        <w:rPr>
          <w:rFonts w:eastAsia="Times New Roman"/>
          <w:b/>
        </w:rPr>
        <w:t>Observation 2: 5G NR offers foundations for 6G AI/ML, including data reporting, feature indication, performance exposure, and lifecycle management. These provide baselines that may be extended to address AI/ML-specific needs such as inference latency, prediction reliability, and large-scale model distribution.</w:t>
      </w:r>
    </w:p>
    <w:p w14:paraId="20D717B4">
      <w:pPr>
        <w:pStyle w:val="5"/>
        <w:rPr>
          <w:b/>
          <w:bCs/>
          <w:lang w:val="en-US"/>
        </w:rPr>
      </w:pPr>
      <w:r>
        <w:rPr>
          <w:b/>
          <w:bCs/>
          <w:lang w:val="en-US"/>
        </w:rPr>
        <w:t>2.2.2 Common Aspects Across Use Cases</w:t>
      </w:r>
    </w:p>
    <w:p w14:paraId="76B51F04">
      <w:pPr>
        <w:spacing w:before="240" w:after="240"/>
        <w:rPr>
          <w:rFonts w:eastAsia="Times New Roman"/>
          <w:bCs/>
          <w:lang w:val="en-US"/>
        </w:rPr>
      </w:pPr>
      <w:r>
        <w:rPr>
          <w:rFonts w:eastAsia="Times New Roman"/>
          <w:bCs/>
          <w:lang w:val="en-US"/>
        </w:rPr>
        <w:t>Building on these foundations, the 6G use cases show several common aspects that are likely to recur regardless of the specific function. These aspects are consistent with what was studied in 5G but may require further consideration in 6G due to tighter service requirements and the integration of AI/ML as a native capability.</w:t>
      </w:r>
    </w:p>
    <w:p w14:paraId="1D73D95C">
      <w:pPr>
        <w:numPr>
          <w:ilvl w:val="0"/>
          <w:numId w:val="6"/>
        </w:numPr>
        <w:spacing w:before="240" w:after="240" w:line="276" w:lineRule="auto"/>
        <w:rPr>
          <w:rFonts w:eastAsia="Times New Roman"/>
          <w:bCs/>
          <w:lang w:val="en-US"/>
        </w:rPr>
      </w:pPr>
      <w:r>
        <w:rPr>
          <w:rFonts w:eastAsia="Times New Roman"/>
          <w:b/>
          <w:lang w:val="en-US"/>
        </w:rPr>
        <w:t>Reference points.</w:t>
      </w:r>
      <w:r>
        <w:rPr>
          <w:rFonts w:eastAsia="Times New Roman"/>
          <w:bCs/>
          <w:lang w:val="en-US"/>
        </w:rPr>
        <w:t xml:space="preserve"> Multiple use cases involve RAN–CN, inter-node, or CU–DU procedures. RAN3 needs to examine which reference points under its scope are most relevant for AI/ML-related functions in 6G.</w:t>
      </w:r>
    </w:p>
    <w:p w14:paraId="00667079">
      <w:pPr>
        <w:numPr>
          <w:ilvl w:val="0"/>
          <w:numId w:val="6"/>
        </w:numPr>
        <w:spacing w:before="240" w:after="240" w:line="276" w:lineRule="auto"/>
        <w:rPr>
          <w:rFonts w:eastAsia="Times New Roman"/>
          <w:bCs/>
          <w:lang w:val="en-US"/>
        </w:rPr>
      </w:pPr>
      <w:r>
        <w:rPr>
          <w:rFonts w:eastAsia="Times New Roman"/>
          <w:b/>
          <w:lang w:val="en-US"/>
        </w:rPr>
        <w:t>Reporting and indicator exposure.</w:t>
      </w:r>
      <w:r>
        <w:rPr>
          <w:rFonts w:eastAsia="Times New Roman"/>
          <w:bCs/>
          <w:lang w:val="en-US"/>
        </w:rPr>
        <w:t xml:space="preserve"> Mobility optimization, CCO, slicing, energy saving, and QoS assurance all depend on timely reporting. The question is whether existing reporting/monitoring procedures can cover AI/ML-related indicators (e.g., prediction reliability, model efficiency), or whether new mechanisms are needed.</w:t>
      </w:r>
    </w:p>
    <w:p w14:paraId="74F58175">
      <w:pPr>
        <w:numPr>
          <w:ilvl w:val="0"/>
          <w:numId w:val="6"/>
        </w:numPr>
        <w:spacing w:before="240" w:after="240" w:line="276" w:lineRule="auto"/>
        <w:rPr>
          <w:rFonts w:eastAsia="Times New Roman"/>
          <w:bCs/>
          <w:lang w:val="en-US"/>
        </w:rPr>
      </w:pPr>
      <w:r>
        <w:rPr>
          <w:rFonts w:eastAsia="Times New Roman"/>
          <w:b/>
          <w:lang w:val="en-US"/>
        </w:rPr>
        <w:t>Model and data transfer.</w:t>
      </w:r>
      <w:r>
        <w:rPr>
          <w:rFonts w:eastAsia="Times New Roman"/>
          <w:bCs/>
          <w:lang w:val="en-US"/>
        </w:rPr>
        <w:t xml:space="preserve"> Many use cases (mobility, CCO, energy saving, anomaly detection, inter-node coordination) assume distribution of AI/ML models or datasets. Rel-19 introduced baseline model transfer. For 6G, RAN3 should consider how to support these transfers efficiently within its scope, aligned with SA2/SA5 frameworks.</w:t>
      </w:r>
    </w:p>
    <w:p w14:paraId="09746BDB">
      <w:pPr>
        <w:numPr>
          <w:ilvl w:val="0"/>
          <w:numId w:val="6"/>
        </w:numPr>
        <w:spacing w:before="240" w:after="240" w:line="276" w:lineRule="auto"/>
        <w:rPr>
          <w:rFonts w:eastAsia="Times New Roman"/>
          <w:bCs/>
          <w:lang w:val="en-US"/>
        </w:rPr>
      </w:pPr>
      <w:r>
        <w:rPr>
          <w:rFonts w:eastAsia="Times New Roman"/>
          <w:b/>
          <w:lang w:val="en-US"/>
        </w:rPr>
        <w:t>Operator control and assurance.</w:t>
      </w:r>
      <w:r>
        <w:rPr>
          <w:rFonts w:eastAsia="Times New Roman"/>
          <w:bCs/>
          <w:lang w:val="en-US"/>
        </w:rPr>
        <w:t xml:space="preserve"> AI/ML-assisted functions must remain under operator control. The key question for RAN3 is whether existing KPI exposure and reporting procedures are enough to support assurance functions defined in SA2 and SA5, or if further enhancements are needed in a 6G-native AI/ML environment.</w:t>
      </w:r>
    </w:p>
    <w:p w14:paraId="525A6648">
      <w:pPr>
        <w:spacing w:before="240" w:after="240"/>
        <w:rPr>
          <w:rFonts w:eastAsia="Times New Roman"/>
          <w:b/>
          <w:lang w:val="en-US"/>
        </w:rPr>
      </w:pPr>
      <w:r>
        <w:rPr>
          <w:rFonts w:eastAsia="Times New Roman"/>
          <w:b/>
          <w:bCs/>
        </w:rPr>
        <w:t>Proposal 2 (for RAN3 discussion):</w:t>
      </w:r>
    </w:p>
    <w:p w14:paraId="7112BB0F">
      <w:pPr>
        <w:numPr>
          <w:ilvl w:val="0"/>
          <w:numId w:val="7"/>
        </w:numPr>
        <w:spacing w:before="240" w:after="240" w:line="276" w:lineRule="auto"/>
        <w:rPr>
          <w:rFonts w:eastAsia="Times New Roman"/>
          <w:b/>
          <w:lang w:val="en-US"/>
        </w:rPr>
      </w:pPr>
      <w:r>
        <w:rPr>
          <w:rStyle w:val="48"/>
        </w:rPr>
        <w:t xml:space="preserve">Reference points: </w:t>
      </w:r>
      <w:r>
        <w:rPr>
          <w:rFonts w:eastAsia="Times New Roman"/>
          <w:b/>
          <w:lang w:val="en-US"/>
        </w:rPr>
        <w:t>Study which reference points under RAN3 scope (RAN–CN, inter-node, CU–DU, intra-CU) are most relevant for 6G AI/ML functions.</w:t>
      </w:r>
    </w:p>
    <w:p w14:paraId="769F25A8">
      <w:pPr>
        <w:numPr>
          <w:ilvl w:val="0"/>
          <w:numId w:val="7"/>
        </w:numPr>
        <w:spacing w:before="240" w:after="240" w:line="276" w:lineRule="auto"/>
        <w:rPr>
          <w:rFonts w:eastAsia="Times New Roman"/>
          <w:b/>
          <w:lang w:val="en-US"/>
        </w:rPr>
      </w:pPr>
      <w:r>
        <w:rPr>
          <w:rFonts w:eastAsia="Times New Roman"/>
          <w:b/>
          <w:lang w:val="en-US"/>
        </w:rPr>
        <w:t>Reporting and indicator exposure: Study whether existing reporting/monitoring procedures are sufficient for AI/ML-related observability, or if additional mechanisms are required.</w:t>
      </w:r>
    </w:p>
    <w:p w14:paraId="52749DEF">
      <w:pPr>
        <w:numPr>
          <w:ilvl w:val="0"/>
          <w:numId w:val="7"/>
        </w:numPr>
        <w:spacing w:before="240" w:after="240" w:line="276" w:lineRule="auto"/>
        <w:rPr>
          <w:rFonts w:eastAsia="Times New Roman"/>
          <w:b/>
          <w:lang w:val="en-US"/>
        </w:rPr>
      </w:pPr>
      <w:r>
        <w:rPr>
          <w:rFonts w:eastAsia="Times New Roman"/>
          <w:b/>
          <w:lang w:val="en-US"/>
        </w:rPr>
        <w:t>Model and data transfer: Study how model and data transfer can be efficiently supported in RAN3 procedures, consistent with SA2/SA5 frameworks.</w:t>
      </w:r>
    </w:p>
    <w:p w14:paraId="5EDBB60F">
      <w:pPr>
        <w:numPr>
          <w:ilvl w:val="0"/>
          <w:numId w:val="7"/>
        </w:numPr>
        <w:spacing w:before="240" w:after="240" w:line="276" w:lineRule="auto"/>
        <w:rPr>
          <w:rFonts w:eastAsia="Times New Roman"/>
          <w:b/>
          <w:lang w:val="en-US"/>
        </w:rPr>
      </w:pPr>
      <w:r>
        <w:rPr>
          <w:rFonts w:eastAsia="Times New Roman"/>
          <w:b/>
          <w:lang w:val="en-US"/>
        </w:rPr>
        <w:t>Operator control and assurance:</w:t>
      </w:r>
      <w:r>
        <w:rPr>
          <w:rFonts w:eastAsia="Times New Roman"/>
          <w:bCs/>
          <w:lang w:val="en-US"/>
        </w:rPr>
        <w:t xml:space="preserve"> </w:t>
      </w:r>
      <w:r>
        <w:rPr>
          <w:rFonts w:eastAsia="Times New Roman"/>
          <w:b/>
          <w:lang w:val="en-US"/>
        </w:rPr>
        <w:t>Study whether KPI exposure and reporting procedures are sufficient to support assurance in a 6G AI/ML-native context.</w:t>
      </w:r>
    </w:p>
    <w:p w14:paraId="2DE44E4B">
      <w:pPr>
        <w:pStyle w:val="4"/>
        <w:rPr>
          <w:b/>
          <w:bCs/>
        </w:rPr>
      </w:pPr>
      <w:bookmarkStart w:id="0" w:name="_d0uy0mvbndkq" w:colFirst="0" w:colLast="0"/>
      <w:bookmarkEnd w:id="0"/>
      <w:r>
        <w:rPr>
          <w:b/>
          <w:bCs/>
        </w:rPr>
        <w:t>2.3 Candidate Use Cases for AI for Network in 6G</w:t>
      </w:r>
    </w:p>
    <w:p w14:paraId="2A9C5BDA">
      <w:pPr>
        <w:spacing w:before="240" w:after="240"/>
        <w:rPr>
          <w:rFonts w:eastAsia="Times New Roman"/>
        </w:rPr>
      </w:pPr>
      <w:r>
        <w:rPr>
          <w:rFonts w:eastAsia="Times New Roman"/>
        </w:rPr>
        <w:t>AI/ML has been studied in NG-RAN (Rel-19 TR 38.743) for topics such as mobility optimization, coverage and capacity optimization, energy saving, and performance reporting. In 6G, these themes remain relevant but are expected to evolve in scope due to new deployment scenarios, tighter service requirements, and the integration of AI as a native capability. The following categories illustrate how AI for Network could relate to RAN3 considerations in the 6G timeframe.</w:t>
      </w:r>
      <w:bookmarkStart w:id="1" w:name="_imdghw440ttm" w:colFirst="0" w:colLast="0"/>
      <w:bookmarkEnd w:id="1"/>
    </w:p>
    <w:p w14:paraId="4B7C9469">
      <w:pPr>
        <w:pStyle w:val="5"/>
        <w:rPr>
          <w:lang w:val="en-US"/>
        </w:rPr>
      </w:pPr>
      <w:r>
        <w:rPr>
          <w:lang w:val="en-US"/>
        </w:rPr>
        <w:t>2.3.1 AI-Assisted Mobility Optimization</w:t>
      </w:r>
    </w:p>
    <w:p w14:paraId="5B067E64">
      <w:pPr>
        <w:rPr>
          <w:lang w:val="en-US"/>
        </w:rPr>
      </w:pPr>
      <w:r>
        <w:rPr>
          <w:b/>
          <w:bCs/>
          <w:lang w:val="en-US"/>
        </w:rPr>
        <w:t>Description:</w:t>
      </w:r>
      <w:r>
        <w:rPr>
          <w:b/>
          <w:bCs/>
          <w:lang w:val="en-US"/>
        </w:rPr>
        <w:br w:type="textWrapping"/>
      </w:r>
      <w:r>
        <w:rPr>
          <w:lang w:val="en-US"/>
        </w:rPr>
        <w:t>In Rel-19, mobility optimization focused on handover refinement and trajectory prediction. In 6G, the scope may extend toward predictive and proactive approaches across broader scenarios, including higher-speed mobility, large-scale coordination, and service continuity in integrated terrestrial and non-terrestrial networks. AI/ML could support timely decisions to improve reliability for demanding applications such as XR or industrial control.</w:t>
      </w:r>
    </w:p>
    <w:p w14:paraId="5F5CFDE4">
      <w:pPr>
        <w:rPr>
          <w:lang w:val="en-US"/>
        </w:rPr>
      </w:pPr>
      <w:r>
        <w:rPr>
          <w:b/>
          <w:bCs/>
          <w:lang w:val="en-US"/>
        </w:rPr>
        <w:t>RAN3 Aspect:</w:t>
      </w:r>
      <w:r>
        <w:rPr>
          <w:b/>
          <w:bCs/>
          <w:lang w:val="en-US"/>
        </w:rPr>
        <w:br w:type="textWrapping"/>
      </w:r>
      <w:r>
        <w:rPr>
          <w:lang w:val="en-US"/>
        </w:rPr>
        <w:t>The interaction of AI/ML with future mobility procedures at RAN–CN, inter-node, and CU–DU levels remains open for consideration in a 6G context.</w:t>
      </w:r>
    </w:p>
    <w:p w14:paraId="0D84EBDF">
      <w:pPr>
        <w:rPr>
          <w:lang w:val="en-US"/>
        </w:rPr>
      </w:pPr>
      <w:r>
        <w:rPr>
          <w:b/>
          <w:bCs/>
          <w:lang w:val="en-US"/>
        </w:rPr>
        <w:t>Potential trade-offs</w:t>
      </w:r>
      <w:r>
        <w:rPr>
          <w:lang w:val="en-US"/>
        </w:rPr>
        <w:t>:</w:t>
      </w:r>
      <w:r>
        <w:rPr>
          <w:lang w:val="en-US"/>
        </w:rPr>
        <w:br w:type="textWrapping"/>
      </w:r>
      <w:r>
        <w:rPr>
          <w:lang w:val="en-US"/>
        </w:rPr>
        <w:t>Predictive mobility optimization may increase signaling load and protocol complexity over NG, Xn, and CU–DU interfaces. This could also raise UE reporting requirements within RAN3-managed measurement and reporting procedures.</w:t>
      </w:r>
    </w:p>
    <w:p w14:paraId="3F598DE6">
      <w:pPr>
        <w:pStyle w:val="5"/>
        <w:rPr>
          <w:rFonts w:eastAsia="Times New Roman"/>
        </w:rPr>
      </w:pPr>
      <w:r>
        <w:rPr>
          <w:lang w:val="en-US"/>
        </w:rPr>
        <w:t>2.3.2 AI-Enabled Coverage and Capacity Optimization (CCO)</w:t>
      </w:r>
    </w:p>
    <w:p w14:paraId="0C3CF314">
      <w:pPr>
        <w:rPr>
          <w:lang w:val="en-US"/>
        </w:rPr>
      </w:pPr>
      <w:r>
        <w:rPr>
          <w:b/>
          <w:bCs/>
          <w:lang w:val="en-US"/>
        </w:rPr>
        <w:t>Description:</w:t>
      </w:r>
      <w:r>
        <w:rPr>
          <w:lang w:val="en-US"/>
        </w:rPr>
        <w:br w:type="textWrapping"/>
      </w:r>
      <w:r>
        <w:rPr>
          <w:lang w:val="en-US"/>
        </w:rPr>
        <w:t>Rel-19 included coverage and capacity optimization through mechanisms such as cell configuration, coverage shaping, and load balancing. In 6G, deployments are expected to become more heterogeneous, including ultra-dense cells, distributed and multi-site architectures, integrated access/backhaul, and wide adoption of IoT. AI/ML may provide adaptive CCO in real time across such complex environments.</w:t>
      </w:r>
    </w:p>
    <w:p w14:paraId="1945F373">
      <w:pPr>
        <w:rPr>
          <w:lang w:val="en-US"/>
        </w:rPr>
      </w:pPr>
      <w:r>
        <w:rPr>
          <w:b/>
          <w:bCs/>
          <w:lang w:val="en-US"/>
        </w:rPr>
        <w:t>RAN3 Aspect:</w:t>
      </w:r>
      <w:r>
        <w:rPr>
          <w:lang w:val="en-US"/>
        </w:rPr>
        <w:br w:type="textWrapping"/>
      </w:r>
      <w:r>
        <w:rPr>
          <w:lang w:val="en-US"/>
        </w:rPr>
        <w:t>Whether existing configuration and coordination mechanisms across inter-node interfaces are sufficient to support AI-driven optimization in these scenarios remains an open point.</w:t>
      </w:r>
    </w:p>
    <w:p w14:paraId="32CE2A3D">
      <w:pPr>
        <w:rPr>
          <w:lang w:val="en-US"/>
        </w:rPr>
      </w:pPr>
      <w:r>
        <w:rPr>
          <w:b/>
          <w:bCs/>
          <w:lang w:val="en-US"/>
        </w:rPr>
        <w:t>Potential trade-offs:</w:t>
      </w:r>
      <w:r>
        <w:rPr>
          <w:lang w:val="en-US"/>
        </w:rPr>
        <w:br w:type="textWrapping"/>
      </w:r>
      <w:r>
        <w:rPr>
          <w:lang w:val="en-US"/>
        </w:rPr>
        <w:t>Adaptive CCO may require more frequent configuration exchanges over Xn or E1, leading to additional signaling load in RAN3 procedures. UE measurement and reporting requirements could also increase, especially in dense deployments.</w:t>
      </w:r>
    </w:p>
    <w:p w14:paraId="2A373B48">
      <w:pPr>
        <w:pStyle w:val="5"/>
        <w:rPr>
          <w:lang w:val="en-US"/>
        </w:rPr>
      </w:pPr>
      <w:r>
        <w:rPr>
          <w:lang w:val="en-US"/>
        </w:rPr>
        <w:t>2.3.3 AI-Based Energy Saving</w:t>
      </w:r>
    </w:p>
    <w:p w14:paraId="6221BDC3">
      <w:pPr>
        <w:rPr>
          <w:lang w:val="en-US"/>
        </w:rPr>
      </w:pPr>
      <w:r>
        <w:rPr>
          <w:b/>
          <w:bCs/>
          <w:lang w:val="en-US"/>
        </w:rPr>
        <w:t>Description:</w:t>
      </w:r>
      <w:r>
        <w:rPr>
          <w:lang w:val="en-US"/>
        </w:rPr>
        <w:br w:type="textWrapping"/>
      </w:r>
      <w:r>
        <w:rPr>
          <w:lang w:val="en-US"/>
        </w:rPr>
        <w:t>In Rel-19, AI/ML was studied for power management and energy cost metrics. In 6G, sustainability is expected to be a defining requirement, with AI/ML enabling fine-grained energy management across large deployments and linking energy performance more tightly with service assurance.</w:t>
      </w:r>
    </w:p>
    <w:p w14:paraId="309A8E74">
      <w:pPr>
        <w:rPr>
          <w:lang w:val="en-US"/>
        </w:rPr>
      </w:pPr>
      <w:r>
        <w:rPr>
          <w:b/>
          <w:bCs/>
          <w:lang w:val="en-US"/>
        </w:rPr>
        <w:t>RAN3 Aspect:</w:t>
      </w:r>
      <w:r>
        <w:rPr>
          <w:b/>
          <w:bCs/>
          <w:lang w:val="en-US"/>
        </w:rPr>
        <w:br w:type="textWrapping"/>
      </w:r>
      <w:r>
        <w:rPr>
          <w:lang w:val="en-US"/>
        </w:rPr>
        <w:t>Procedures for performance exposure and coordination provide a baseline. How these align with AI-assisted energy efficiency objectives in 6G remains an open question.</w:t>
      </w:r>
    </w:p>
    <w:p w14:paraId="251CFE84">
      <w:pPr>
        <w:rPr>
          <w:lang w:val="en-US"/>
        </w:rPr>
      </w:pPr>
      <w:r>
        <w:rPr>
          <w:b/>
          <w:bCs/>
          <w:lang w:val="en-US"/>
        </w:rPr>
        <w:t>Potential trade-offs:</w:t>
      </w:r>
      <w:r>
        <w:rPr>
          <w:lang w:val="en-US"/>
        </w:rPr>
        <w:br w:type="textWrapping"/>
      </w:r>
      <w:r>
        <w:rPr>
          <w:lang w:val="en-US"/>
        </w:rPr>
        <w:t>Energy-saving coordination may require additional reporting of energy-related indicators across NG or E1, increasing signaling in RAN3 protocols. For the UE, this may translate into more frequent measurements or reporting, with corresponding power consumption impacts.</w:t>
      </w:r>
    </w:p>
    <w:p w14:paraId="645CDF40">
      <w:pPr>
        <w:pStyle w:val="5"/>
        <w:rPr>
          <w:lang w:val="en-US"/>
        </w:rPr>
      </w:pPr>
      <w:r>
        <w:rPr>
          <w:lang w:val="en-US"/>
        </w:rPr>
        <w:t>2.3.4 AI-Related Performance Reporting and Indicator Exposure</w:t>
      </w:r>
    </w:p>
    <w:p w14:paraId="060142BB">
      <w:pPr>
        <w:rPr>
          <w:lang w:val="en-US"/>
        </w:rPr>
      </w:pPr>
      <w:r>
        <w:rPr>
          <w:b/>
          <w:bCs/>
          <w:lang w:val="en-US"/>
        </w:rPr>
        <w:t>Description:</w:t>
      </w:r>
      <w:r>
        <w:rPr>
          <w:lang w:val="en-US"/>
        </w:rPr>
        <w:br w:type="textWrapping"/>
      </w:r>
      <w:r>
        <w:rPr>
          <w:lang w:val="en-US"/>
        </w:rPr>
        <w:t>Rel-19 investigated mechanisms such as MDT and KPI exposure for performance monitoring. In 6G, reporting may extend toward AI/ML-related indicators such as inference latency, prediction reliability, or model execution efficiency, reflecting AI as part of the operational environment.</w:t>
      </w:r>
    </w:p>
    <w:p w14:paraId="64B0505C">
      <w:pPr>
        <w:rPr>
          <w:lang w:val="en-US"/>
        </w:rPr>
      </w:pPr>
      <w:r>
        <w:rPr>
          <w:b/>
          <w:bCs/>
          <w:lang w:val="en-US"/>
        </w:rPr>
        <w:t>RAN3 Aspect:</w:t>
      </w:r>
      <w:r>
        <w:rPr>
          <w:b/>
          <w:bCs/>
          <w:lang w:val="en-US"/>
        </w:rPr>
        <w:br w:type="textWrapping"/>
      </w:r>
      <w:r>
        <w:rPr>
          <w:lang w:val="en-US"/>
        </w:rPr>
        <w:t>Existing reporting and monitoring mechanisms provide foundations. Whether they are sufficient for AI/ML-related indicator exposure in 6G remains an open question.</w:t>
      </w:r>
    </w:p>
    <w:p w14:paraId="5B07D4AD">
      <w:pPr>
        <w:rPr>
          <w:b/>
          <w:bCs/>
          <w:sz w:val="24"/>
          <w:szCs w:val="24"/>
          <w:lang w:val="en-US"/>
        </w:rPr>
      </w:pPr>
      <w:r>
        <w:rPr>
          <w:b/>
          <w:bCs/>
          <w:lang w:val="en-US"/>
        </w:rPr>
        <w:t>Potential trade-offs:</w:t>
      </w:r>
      <w:r>
        <w:rPr>
          <w:b/>
          <w:bCs/>
          <w:lang w:val="en-US"/>
        </w:rPr>
        <w:br w:type="textWrapping"/>
      </w:r>
      <w:r>
        <w:rPr>
          <w:lang w:val="en-US"/>
        </w:rPr>
        <w:t>Expanding reporting scope may increase reporting frequency or message size across NGAP, F1AP, XnAP, or E1AP. This could add signaling overhead in RAN3 interfaces and increase UE power consumption from more frequent or detailed reporting.</w:t>
      </w:r>
    </w:p>
    <w:p w14:paraId="2AE23EB7">
      <w:pPr>
        <w:pStyle w:val="5"/>
        <w:rPr>
          <w:lang w:val="en-US"/>
        </w:rPr>
      </w:pPr>
      <w:r>
        <w:rPr>
          <w:lang w:val="en-US"/>
        </w:rPr>
        <w:t>2.3.5 AI/ML-Assisted Network Slicing</w:t>
      </w:r>
    </w:p>
    <w:p w14:paraId="68D4D3F8">
      <w:pPr>
        <w:rPr>
          <w:lang w:val="en-US"/>
        </w:rPr>
      </w:pPr>
      <w:r>
        <w:rPr>
          <w:b/>
          <w:bCs/>
          <w:lang w:val="en-US"/>
        </w:rPr>
        <w:t>Description:</w:t>
      </w:r>
      <w:r>
        <w:rPr>
          <w:lang w:val="en-US"/>
        </w:rPr>
        <w:br w:type="textWrapping"/>
      </w:r>
      <w:r>
        <w:rPr>
          <w:lang w:val="en-US"/>
        </w:rPr>
        <w:t>In Rel-19, AI/ML was considered for slice admission, resource adaptation, and assurance. In 6G, AI/ML may further support predictive slice lifecycle management, enabling proactive adaptation of resources to traffic demand and service requirements.</w:t>
      </w:r>
    </w:p>
    <w:p w14:paraId="452FBEAD">
      <w:pPr>
        <w:rPr>
          <w:lang w:val="en-US"/>
        </w:rPr>
      </w:pPr>
      <w:r>
        <w:rPr>
          <w:b/>
          <w:bCs/>
          <w:lang w:val="en-US"/>
        </w:rPr>
        <w:t>RAN3 Aspect:</w:t>
      </w:r>
      <w:r>
        <w:rPr>
          <w:lang w:val="en-US"/>
        </w:rPr>
        <w:br w:type="textWrapping"/>
      </w:r>
      <w:r>
        <w:rPr>
          <w:lang w:val="en-US"/>
        </w:rPr>
        <w:t>From a RAN3 perspective, an open issue is whether exposure of slice-related KPIs and adaptation procedures across RAN–CN and inter-node reference points will be sufficient for predictive AI-assisted slicing.</w:t>
      </w:r>
    </w:p>
    <w:p w14:paraId="53B2D29B">
      <w:pPr>
        <w:rPr>
          <w:lang w:val="en-US"/>
        </w:rPr>
      </w:pPr>
      <w:r>
        <w:rPr>
          <w:b/>
          <w:bCs/>
          <w:lang w:val="en-US"/>
        </w:rPr>
        <w:t>Potential trade-offs:</w:t>
      </w:r>
      <w:r>
        <w:rPr>
          <w:lang w:val="en-US"/>
        </w:rPr>
        <w:br w:type="textWrapping"/>
      </w:r>
      <w:r>
        <w:rPr>
          <w:lang w:val="en-US"/>
        </w:rPr>
        <w:t>Predictive slice adaptation may lead to additional KPI reporting and control signaling over NG and inter-node interfaces, impacting RAN3 procedures. UE reporting requirements could also increase, particularly for slice-specific performance information.</w:t>
      </w:r>
    </w:p>
    <w:p w14:paraId="0E466365">
      <w:pPr>
        <w:pStyle w:val="5"/>
        <w:rPr>
          <w:lang w:val="en-US"/>
        </w:rPr>
      </w:pPr>
      <w:r>
        <w:rPr>
          <w:lang w:val="en-US"/>
        </w:rPr>
        <w:t>2.3,6 AI/ML-Based Predictive Assurance and Resilience</w:t>
      </w:r>
    </w:p>
    <w:p w14:paraId="22317B0F">
      <w:pPr>
        <w:rPr>
          <w:lang w:val="en-US"/>
        </w:rPr>
      </w:pPr>
      <w:r>
        <w:rPr>
          <w:b/>
          <w:bCs/>
          <w:lang w:val="en-US"/>
        </w:rPr>
        <w:t>Description:</w:t>
      </w:r>
      <w:r>
        <w:rPr>
          <w:lang w:val="en-US"/>
        </w:rPr>
        <w:br w:type="textWrapping"/>
      </w:r>
      <w:r>
        <w:rPr>
          <w:lang w:val="en-US"/>
        </w:rPr>
        <w:t>Rel-19 studied anomaly/fault detection and QoS assurance separately, focusing on early detection of abnormal behavior and reactive QoS optimization. In 6G, these themes converge into predictive assurance and resilience, where AI/ML models forecast service degradation, detect anomalies earlier, and trigger proactive measures to maintain continuity for latency-sensitive and reliability-critical services.</w:t>
      </w:r>
    </w:p>
    <w:p w14:paraId="4F63598D">
      <w:pPr>
        <w:rPr>
          <w:lang w:val="en-US"/>
        </w:rPr>
      </w:pPr>
      <w:r>
        <w:rPr>
          <w:b/>
          <w:bCs/>
          <w:lang w:val="en-US"/>
        </w:rPr>
        <w:t>RAN3 Aspect:</w:t>
      </w:r>
      <w:r>
        <w:rPr>
          <w:lang w:val="en-US"/>
        </w:rPr>
        <w:br w:type="textWrapping"/>
      </w:r>
      <w:r>
        <w:rPr>
          <w:lang w:val="en-US"/>
        </w:rPr>
        <w:t>How predictive assurance and resilience functions interact with RAN–CN, inter-node, and CU–DU procedures, particularly in terms of reporting mechanisms and KPI/indicator exposure, remains open for discussion.</w:t>
      </w:r>
    </w:p>
    <w:p w14:paraId="316F51A3">
      <w:pPr>
        <w:rPr>
          <w:lang w:val="en-US"/>
        </w:rPr>
      </w:pPr>
      <w:r>
        <w:rPr>
          <w:b/>
          <w:bCs/>
          <w:lang w:val="en-US"/>
        </w:rPr>
        <w:t>Potential trade-offs:</w:t>
      </w:r>
      <w:r>
        <w:rPr>
          <w:lang w:val="en-US"/>
        </w:rPr>
        <w:br w:type="textWrapping"/>
      </w:r>
      <w:r>
        <w:rPr>
          <w:lang w:val="en-US"/>
        </w:rPr>
        <w:t>Predictive assurance and resilience may require more frequent KPI exposure and anomaly reporting across NG, Xn, or F1 interfaces. This could increase signaling load in RAN3 protocols and impose additional reporting overhead on the UE.</w:t>
      </w:r>
    </w:p>
    <w:p w14:paraId="169BA4C5">
      <w:pPr>
        <w:pStyle w:val="5"/>
        <w:rPr>
          <w:lang w:val="en-US"/>
        </w:rPr>
      </w:pPr>
      <w:r>
        <w:rPr>
          <w:lang w:val="en-US"/>
        </w:rPr>
        <w:t>2.3.7 AI/ML-Assisted Inter-Node Coordination</w:t>
      </w:r>
    </w:p>
    <w:p w14:paraId="4658E02C">
      <w:pPr>
        <w:rPr>
          <w:lang w:val="en-US"/>
        </w:rPr>
      </w:pPr>
      <w:r>
        <w:rPr>
          <w:b/>
          <w:bCs/>
          <w:lang w:val="en-US"/>
        </w:rPr>
        <w:t>Description:</w:t>
      </w:r>
      <w:r>
        <w:rPr>
          <w:lang w:val="en-US"/>
        </w:rPr>
        <w:br w:type="textWrapping"/>
      </w:r>
      <w:r>
        <w:rPr>
          <w:lang w:val="en-US"/>
        </w:rPr>
        <w:t>Rel-19 included AI/ML use cases for inter-gNB coordination. In 6G, coordination is expected to extend to multi-site and distributed deployments, where AI/ML could improve scalability and responsiveness in dynamic traffic environments.</w:t>
      </w:r>
    </w:p>
    <w:p w14:paraId="4B7B30B9">
      <w:pPr>
        <w:rPr>
          <w:lang w:val="en-US"/>
        </w:rPr>
      </w:pPr>
      <w:r>
        <w:rPr>
          <w:b/>
          <w:bCs/>
          <w:lang w:val="en-US"/>
        </w:rPr>
        <w:t>RAN3 Aspect:</w:t>
      </w:r>
      <w:r>
        <w:rPr>
          <w:b/>
          <w:bCs/>
          <w:lang w:val="en-US"/>
        </w:rPr>
        <w:br w:type="textWrapping"/>
      </w:r>
      <w:r>
        <w:rPr>
          <w:lang w:val="en-US"/>
        </w:rPr>
        <w:t>Impacts on inter-node signaling procedures in a 6G architecture remain an area for study.</w:t>
      </w:r>
    </w:p>
    <w:p w14:paraId="055C2E4F">
      <w:pPr>
        <w:rPr>
          <w:lang w:val="en-US"/>
        </w:rPr>
      </w:pPr>
      <w:r>
        <w:rPr>
          <w:b/>
          <w:bCs/>
          <w:lang w:val="en-US"/>
        </w:rPr>
        <w:t>Potential trade-offs:</w:t>
      </w:r>
      <w:r>
        <w:rPr>
          <w:lang w:val="en-US"/>
        </w:rPr>
        <w:br w:type="textWrapping"/>
      </w:r>
      <w:r>
        <w:rPr>
          <w:lang w:val="en-US"/>
        </w:rPr>
        <w:t>AI-assisted inter-node coordination may expand the use of Xn or E1 procedures in RAN3 scope, increasing signaling exchanges and protocol complexity. UE reporting may also be more frequent if inter-node coordination depends on richer measurement data.</w:t>
      </w:r>
    </w:p>
    <w:p w14:paraId="3C694F9C">
      <w:pPr>
        <w:pStyle w:val="4"/>
        <w:rPr>
          <w:b/>
          <w:bCs/>
          <w:lang w:val="en-US"/>
        </w:rPr>
      </w:pPr>
      <w:r>
        <w:rPr>
          <w:b/>
          <w:bCs/>
          <w:lang w:val="en-US"/>
        </w:rPr>
        <w:t>2</w:t>
      </w:r>
      <w:r>
        <w:rPr>
          <w:b/>
          <w:bCs/>
        </w:rPr>
        <w:t xml:space="preserve">.4 </w:t>
      </w:r>
      <w:r>
        <w:rPr>
          <w:b/>
          <w:bCs/>
          <w:lang w:val="en-US"/>
        </w:rPr>
        <w:t>Discussion on AI/ML Use Cases for 6G</w:t>
      </w:r>
    </w:p>
    <w:p w14:paraId="78155EAE">
      <w:pPr>
        <w:rPr>
          <w:lang w:val="en-US"/>
        </w:rPr>
      </w:pPr>
      <w:r>
        <w:rPr>
          <w:lang w:val="en-US"/>
        </w:rPr>
        <w:t>AI/ML has been studied in 3GPP since Rel-18. For example, TR 37.817 [1] examined AI/ML aspects across NG-RAN and the 5GC, focusing on architectural implications and data collection. TR 38.843 [2] studied AI/ML for the NR air interface, identifying potential enablers and measurement support. Building on this, Rel-19 TR 38.743 [3] investigated a set of baseline AI/ML use cases in the NG-RAN.</w:t>
      </w:r>
    </w:p>
    <w:p w14:paraId="74A11C99">
      <w:pPr>
        <w:rPr>
          <w:lang w:val="en-US"/>
        </w:rPr>
      </w:pPr>
      <w:r>
        <w:t>The baseline AI/ML use cases studied across Rel-18 and Rel-19 include:</w:t>
      </w:r>
    </w:p>
    <w:p w14:paraId="63D30122">
      <w:pPr>
        <w:pStyle w:val="96"/>
        <w:widowControl/>
        <w:numPr>
          <w:ilvl w:val="0"/>
          <w:numId w:val="8"/>
        </w:numPr>
        <w:spacing w:line="276" w:lineRule="auto"/>
        <w:ind w:leftChars="0"/>
        <w:jc w:val="left"/>
        <w:rPr>
          <w:rFonts w:ascii="Times New Roman" w:hAnsi="Times New Roman"/>
          <w:sz w:val="20"/>
          <w:szCs w:val="20"/>
        </w:rPr>
      </w:pPr>
      <w:r>
        <w:rPr>
          <w:rFonts w:ascii="Times New Roman" w:hAnsi="Times New Roman"/>
          <w:sz w:val="20"/>
          <w:szCs w:val="20"/>
        </w:rPr>
        <w:t>Mobility optimization (handover refinement, trajectory prediction).</w:t>
      </w:r>
    </w:p>
    <w:p w14:paraId="30DF5064">
      <w:pPr>
        <w:pStyle w:val="96"/>
        <w:widowControl/>
        <w:numPr>
          <w:ilvl w:val="0"/>
          <w:numId w:val="8"/>
        </w:numPr>
        <w:spacing w:line="276" w:lineRule="auto"/>
        <w:ind w:leftChars="0"/>
        <w:jc w:val="left"/>
        <w:rPr>
          <w:rFonts w:ascii="Times New Roman" w:hAnsi="Times New Roman"/>
          <w:sz w:val="20"/>
          <w:szCs w:val="20"/>
        </w:rPr>
      </w:pPr>
      <w:r>
        <w:rPr>
          <w:rFonts w:ascii="Times New Roman" w:hAnsi="Times New Roman"/>
          <w:sz w:val="20"/>
          <w:szCs w:val="20"/>
        </w:rPr>
        <w:t>Coverage and capacity optimization (CCO) (cell configuration, coverage shaping, load balancing).</w:t>
      </w:r>
    </w:p>
    <w:p w14:paraId="021BDA68">
      <w:pPr>
        <w:pStyle w:val="96"/>
        <w:widowControl/>
        <w:numPr>
          <w:ilvl w:val="0"/>
          <w:numId w:val="8"/>
        </w:numPr>
        <w:spacing w:line="276" w:lineRule="auto"/>
        <w:ind w:leftChars="0"/>
        <w:jc w:val="left"/>
        <w:rPr>
          <w:rFonts w:ascii="Times New Roman" w:hAnsi="Times New Roman"/>
          <w:sz w:val="20"/>
          <w:szCs w:val="20"/>
        </w:rPr>
      </w:pPr>
      <w:r>
        <w:rPr>
          <w:rFonts w:ascii="Times New Roman" w:hAnsi="Times New Roman"/>
          <w:sz w:val="20"/>
          <w:szCs w:val="20"/>
        </w:rPr>
        <w:t>Energy saving (AI-supported power management, energy cost metric).</w:t>
      </w:r>
    </w:p>
    <w:p w14:paraId="0196859A">
      <w:pPr>
        <w:pStyle w:val="96"/>
        <w:widowControl/>
        <w:numPr>
          <w:ilvl w:val="0"/>
          <w:numId w:val="8"/>
        </w:numPr>
        <w:spacing w:line="276" w:lineRule="auto"/>
        <w:ind w:leftChars="0"/>
        <w:jc w:val="left"/>
        <w:rPr>
          <w:rFonts w:ascii="Times New Roman" w:hAnsi="Times New Roman"/>
          <w:sz w:val="20"/>
          <w:szCs w:val="20"/>
        </w:rPr>
      </w:pPr>
      <w:r>
        <w:rPr>
          <w:rFonts w:ascii="Times New Roman" w:hAnsi="Times New Roman"/>
          <w:sz w:val="20"/>
          <w:szCs w:val="20"/>
        </w:rPr>
        <w:t>Performance reporting and indicator exposure (continuous MDT, KPI exposure).</w:t>
      </w:r>
    </w:p>
    <w:p w14:paraId="069012CF">
      <w:pPr>
        <w:pStyle w:val="96"/>
        <w:widowControl/>
        <w:numPr>
          <w:ilvl w:val="0"/>
          <w:numId w:val="8"/>
        </w:numPr>
        <w:spacing w:line="276" w:lineRule="auto"/>
        <w:ind w:leftChars="0"/>
        <w:jc w:val="left"/>
        <w:rPr>
          <w:rFonts w:ascii="Times New Roman" w:hAnsi="Times New Roman"/>
          <w:sz w:val="20"/>
          <w:szCs w:val="20"/>
        </w:rPr>
      </w:pPr>
      <w:r>
        <w:rPr>
          <w:rFonts w:ascii="Times New Roman" w:hAnsi="Times New Roman"/>
          <w:sz w:val="20"/>
          <w:szCs w:val="20"/>
        </w:rPr>
        <w:t>Network slicing (AI for slice admission, resource adaptation, assurance).</w:t>
      </w:r>
    </w:p>
    <w:p w14:paraId="602E399A">
      <w:pPr>
        <w:pStyle w:val="96"/>
        <w:widowControl/>
        <w:numPr>
          <w:ilvl w:val="0"/>
          <w:numId w:val="8"/>
        </w:numPr>
        <w:spacing w:line="276" w:lineRule="auto"/>
        <w:ind w:leftChars="0"/>
        <w:jc w:val="left"/>
        <w:rPr>
          <w:rFonts w:ascii="Times New Roman" w:hAnsi="Times New Roman"/>
          <w:sz w:val="20"/>
          <w:szCs w:val="20"/>
        </w:rPr>
      </w:pPr>
      <w:r>
        <w:rPr>
          <w:rFonts w:ascii="Times New Roman" w:hAnsi="Times New Roman"/>
          <w:sz w:val="20"/>
          <w:szCs w:val="20"/>
        </w:rPr>
        <w:t>AI/ML-Based Predictive Assurance and Resilience (traffic prediction and QoS optimization, early identification of abnormal behavior).</w:t>
      </w:r>
    </w:p>
    <w:p w14:paraId="798E1E2D">
      <w:pPr>
        <w:pStyle w:val="96"/>
        <w:widowControl/>
        <w:numPr>
          <w:ilvl w:val="0"/>
          <w:numId w:val="8"/>
        </w:numPr>
        <w:spacing w:line="276" w:lineRule="auto"/>
        <w:ind w:leftChars="0"/>
        <w:jc w:val="left"/>
        <w:rPr>
          <w:rFonts w:ascii="Times New Roman" w:hAnsi="Times New Roman"/>
          <w:sz w:val="20"/>
          <w:szCs w:val="20"/>
        </w:rPr>
      </w:pPr>
      <w:r>
        <w:rPr>
          <w:rFonts w:ascii="Times New Roman" w:hAnsi="Times New Roman"/>
          <w:sz w:val="20"/>
          <w:szCs w:val="20"/>
        </w:rPr>
        <w:t>Inter-node coordination (AI-assisted coordination across gNBs).</w:t>
      </w:r>
    </w:p>
    <w:p w14:paraId="7A2A26DA">
      <w:pPr>
        <w:pStyle w:val="96"/>
        <w:widowControl/>
        <w:spacing w:line="276" w:lineRule="auto"/>
        <w:ind w:left="880" w:leftChars="0"/>
        <w:jc w:val="left"/>
        <w:rPr>
          <w:rFonts w:ascii="Times New Roman" w:hAnsi="Times New Roman"/>
          <w:sz w:val="20"/>
          <w:szCs w:val="20"/>
        </w:rPr>
      </w:pPr>
    </w:p>
    <w:p w14:paraId="1E20C844">
      <w:pPr>
        <w:rPr>
          <w:lang w:val="en-US"/>
        </w:rPr>
      </w:pPr>
      <w:r>
        <w:rPr>
          <w:lang w:val="en-US"/>
        </w:rPr>
        <w:t>For 6G, these categories may serve as a baseline, but they are expected to require restudy and extension in new deployment contexts and with new requirements (as described in TR 38.914 [4] and RP-252912 [5]). Examples include:</w:t>
      </w:r>
    </w:p>
    <w:p w14:paraId="6AAF958B">
      <w:pPr>
        <w:pStyle w:val="96"/>
        <w:widowControl/>
        <w:numPr>
          <w:ilvl w:val="0"/>
          <w:numId w:val="9"/>
        </w:numPr>
        <w:spacing w:line="276" w:lineRule="auto"/>
        <w:ind w:leftChars="0"/>
        <w:jc w:val="left"/>
        <w:rPr>
          <w:rFonts w:ascii="Times New Roman" w:hAnsi="Times New Roman"/>
          <w:sz w:val="20"/>
          <w:szCs w:val="20"/>
        </w:rPr>
      </w:pPr>
      <w:r>
        <w:rPr>
          <w:rFonts w:ascii="Times New Roman" w:hAnsi="Times New Roman"/>
          <w:sz w:val="20"/>
          <w:szCs w:val="20"/>
        </w:rPr>
        <w:t>Mobility optimization in new environments (e.g., non-terrestrial networks, XR continuity, high-speed large-scale mobility).</w:t>
      </w:r>
    </w:p>
    <w:p w14:paraId="6D08E237">
      <w:pPr>
        <w:pStyle w:val="96"/>
        <w:widowControl/>
        <w:numPr>
          <w:ilvl w:val="0"/>
          <w:numId w:val="9"/>
        </w:numPr>
        <w:spacing w:line="276" w:lineRule="auto"/>
        <w:ind w:leftChars="0"/>
        <w:jc w:val="left"/>
        <w:rPr>
          <w:rFonts w:ascii="Times New Roman" w:hAnsi="Times New Roman"/>
          <w:sz w:val="20"/>
          <w:szCs w:val="20"/>
        </w:rPr>
      </w:pPr>
      <w:r>
        <w:rPr>
          <w:rFonts w:ascii="Times New Roman" w:hAnsi="Times New Roman"/>
          <w:sz w:val="20"/>
          <w:szCs w:val="20"/>
        </w:rPr>
        <w:t>CCO in complex topologies (ultra-dense deployments, distributed/multi-site architectures, IoT connectivity).</w:t>
      </w:r>
    </w:p>
    <w:p w14:paraId="08DB4754">
      <w:pPr>
        <w:pStyle w:val="96"/>
        <w:widowControl/>
        <w:numPr>
          <w:ilvl w:val="0"/>
          <w:numId w:val="9"/>
        </w:numPr>
        <w:spacing w:line="276" w:lineRule="auto"/>
        <w:ind w:leftChars="0"/>
        <w:jc w:val="left"/>
        <w:rPr>
          <w:rFonts w:ascii="Times New Roman" w:hAnsi="Times New Roman"/>
          <w:sz w:val="20"/>
          <w:szCs w:val="20"/>
        </w:rPr>
      </w:pPr>
      <w:r>
        <w:rPr>
          <w:rFonts w:ascii="Times New Roman" w:hAnsi="Times New Roman"/>
          <w:sz w:val="20"/>
          <w:szCs w:val="20"/>
        </w:rPr>
        <w:t>Exposure of AI/ML-related performance indicators (e.g., inference latency, prediction accuracy, model execution efficiency).</w:t>
      </w:r>
    </w:p>
    <w:p w14:paraId="5F4C11FE">
      <w:pPr>
        <w:pStyle w:val="96"/>
        <w:widowControl/>
        <w:numPr>
          <w:ilvl w:val="0"/>
          <w:numId w:val="9"/>
        </w:numPr>
        <w:spacing w:line="276" w:lineRule="auto"/>
        <w:ind w:leftChars="0"/>
        <w:jc w:val="left"/>
      </w:pPr>
      <w:r>
        <w:rPr>
          <w:rFonts w:ascii="Times New Roman" w:hAnsi="Times New Roman"/>
          <w:sz w:val="20"/>
          <w:szCs w:val="20"/>
        </w:rPr>
        <w:t>AI/ML-assisted resilience (extending anomaly/fault detection toward predictive assurance and service continuity).</w:t>
      </w:r>
    </w:p>
    <w:p w14:paraId="045B2B1F">
      <w:pPr>
        <w:pStyle w:val="96"/>
        <w:ind w:left="800"/>
      </w:pPr>
    </w:p>
    <w:p w14:paraId="547D8C73">
      <w:pPr>
        <w:rPr>
          <w:rFonts w:eastAsia="Times New Roman"/>
          <w:b/>
          <w:bCs/>
          <w:lang w:val="en-US"/>
        </w:rPr>
      </w:pPr>
      <w:r>
        <w:rPr>
          <w:rFonts w:eastAsia="Times New Roman"/>
          <w:b/>
          <w:bCs/>
        </w:rPr>
        <w:t>Proposal 1: It may be useful to first down-select and restudy AI/ML use cases, using Rel-18 and Rel-19 experience as a baseline. Possible areas for consideration include</w:t>
      </w:r>
      <w:r>
        <w:rPr>
          <w:b/>
          <w:bCs/>
        </w:rPr>
        <w:t>:</w:t>
      </w:r>
    </w:p>
    <w:p w14:paraId="6F81FD4D">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Mobility optimization (handover refinement, trajectory prediction).</w:t>
      </w:r>
    </w:p>
    <w:p w14:paraId="68DF77E5">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Coverage and capacity optimization (CCO) (cell configuration, coverage shaping, load balancing).</w:t>
      </w:r>
    </w:p>
    <w:p w14:paraId="60076F05">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Energy saving (AI-supported power management, energy cost metric).</w:t>
      </w:r>
    </w:p>
    <w:p w14:paraId="183B0310">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Performance reporting and indicator exposure (continuous MDT, KPI exposure).</w:t>
      </w:r>
    </w:p>
    <w:p w14:paraId="2AF13409">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Network slicing (AI for slice admission, resource adaptation, assurance).</w:t>
      </w:r>
    </w:p>
    <w:p w14:paraId="02661218">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b/>
          <w:bCs/>
          <w:sz w:val="20"/>
          <w:szCs w:val="20"/>
        </w:rPr>
        <w:t>AI/ML-Based Predictive Assurance and Resilience (traffic prediction and QoS optimization, early identification of abnormal behavior)</w:t>
      </w:r>
    </w:p>
    <w:p w14:paraId="20D0C783">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Inter-node coordination (AI-assisted coordination across gNBs).</w:t>
      </w:r>
    </w:p>
    <w:p w14:paraId="0482A731">
      <w:pPr>
        <w:rPr>
          <w:rFonts w:eastAsia="Times New Roman"/>
          <w:b/>
          <w:bCs/>
          <w:lang w:val="en-US"/>
        </w:rPr>
      </w:pPr>
    </w:p>
    <w:p w14:paraId="2354A891">
      <w:pPr>
        <w:rPr>
          <w:b/>
          <w:bCs/>
          <w:lang w:val="en-US"/>
        </w:rPr>
      </w:pPr>
      <w:r>
        <w:rPr>
          <w:rFonts w:eastAsia="Times New Roman"/>
          <w:b/>
          <w:bCs/>
          <w:color w:val="000000"/>
        </w:rPr>
        <w:t xml:space="preserve">Proposal 2: </w:t>
      </w:r>
      <w:r>
        <w:rPr>
          <w:b/>
          <w:bCs/>
        </w:rPr>
        <w:t>It may be useful to restudy and extend baseline AI/ML use cases for 6G. Possible extensions could include:</w:t>
      </w:r>
    </w:p>
    <w:p w14:paraId="01D38B23">
      <w:pPr>
        <w:numPr>
          <w:ilvl w:val="0"/>
          <w:numId w:val="11"/>
        </w:numPr>
        <w:spacing w:before="240" w:after="0" w:line="276" w:lineRule="auto"/>
        <w:ind w:left="528" w:leftChars="264"/>
        <w:rPr>
          <w:rFonts w:eastAsia="Times New Roman"/>
          <w:b/>
        </w:rPr>
      </w:pPr>
      <w:r>
        <w:rPr>
          <w:rFonts w:eastAsia="Times New Roman"/>
          <w:b/>
        </w:rPr>
        <w:t>Mobility optimization in new environments (e.g., non-terrestrial networks, XR continuity, high-speed large-scale mobility).</w:t>
      </w:r>
    </w:p>
    <w:p w14:paraId="2B8D63A1">
      <w:pPr>
        <w:numPr>
          <w:ilvl w:val="0"/>
          <w:numId w:val="11"/>
        </w:numPr>
        <w:spacing w:after="0" w:line="276" w:lineRule="auto"/>
        <w:ind w:left="528" w:leftChars="264"/>
        <w:rPr>
          <w:rFonts w:eastAsia="Times New Roman"/>
          <w:b/>
        </w:rPr>
      </w:pPr>
      <w:r>
        <w:rPr>
          <w:rFonts w:eastAsia="Times New Roman"/>
          <w:b/>
        </w:rPr>
        <w:t>Coverage and capacity optimization (CCO) in complex topologies (ultra-dense deployments, distributed/multi-site architectures, IoT connectivity).</w:t>
      </w:r>
    </w:p>
    <w:p w14:paraId="6A33EDE1">
      <w:pPr>
        <w:numPr>
          <w:ilvl w:val="0"/>
          <w:numId w:val="11"/>
        </w:numPr>
        <w:spacing w:after="0" w:line="276" w:lineRule="auto"/>
        <w:ind w:left="528" w:leftChars="264"/>
        <w:rPr>
          <w:rFonts w:eastAsia="Times New Roman"/>
          <w:b/>
        </w:rPr>
      </w:pPr>
      <w:r>
        <w:rPr>
          <w:rFonts w:eastAsia="Times New Roman"/>
          <w:b/>
        </w:rPr>
        <w:t>Exposure of AI/ML-related performance indicators (e.g., inference latency, prediction accuracy, model execution efficiency).</w:t>
      </w:r>
    </w:p>
    <w:p w14:paraId="6539D223">
      <w:pPr>
        <w:numPr>
          <w:ilvl w:val="0"/>
          <w:numId w:val="11"/>
        </w:numPr>
        <w:spacing w:after="240" w:line="276" w:lineRule="auto"/>
        <w:ind w:left="528" w:leftChars="264"/>
        <w:rPr>
          <w:rFonts w:eastAsia="Times New Roman"/>
          <w:b/>
        </w:rPr>
      </w:pPr>
      <w:r>
        <w:rPr>
          <w:rFonts w:eastAsia="Times New Roman"/>
          <w:b/>
        </w:rPr>
        <w:t>AI/ML-assisted resilience (extending anomaly/fault detection toward predictive assurance and service continuity).</w:t>
      </w:r>
    </w:p>
    <w:p w14:paraId="3E5D4F99">
      <w:pPr>
        <w:pStyle w:val="2"/>
      </w:pPr>
      <w:r>
        <w:t>3</w:t>
      </w:r>
      <w:r>
        <w:tab/>
      </w:r>
      <w:r>
        <w:t>Conclusion</w:t>
      </w:r>
    </w:p>
    <w:p w14:paraId="1C8D4BD7">
      <w:pPr>
        <w:rPr>
          <w:b/>
          <w:bCs/>
          <w:lang w:val="en-US"/>
        </w:rPr>
      </w:pPr>
      <w:r>
        <w:rPr>
          <w:b/>
          <w:bCs/>
          <w:lang w:val="en-US"/>
        </w:rPr>
        <w:t>Observation 1: 5G AI/ML studies highlighted coordination gaps, with RAN3 progress often dependent on other WGs. For 6G, early coordination, clear role separation, and timeline alignment may help reduce fragmentation.</w:t>
      </w:r>
    </w:p>
    <w:p w14:paraId="329C66DD">
      <w:pPr>
        <w:rPr>
          <w:rFonts w:hint="eastAsia" w:eastAsia="宋体"/>
          <w:lang w:val="en-US" w:eastAsia="zh-CN"/>
        </w:rPr>
      </w:pPr>
      <w:r>
        <w:rPr>
          <w:b/>
          <w:bCs/>
          <w:lang w:val="en-US"/>
        </w:rPr>
        <w:t xml:space="preserve">Proposal 1: </w:t>
      </w:r>
      <w:r>
        <w:rPr>
          <w:rFonts w:hint="eastAsia"/>
          <w:b/>
          <w:bCs/>
        </w:rPr>
        <w:t>RAN3 could, at this stage, focus on identifying high-level requirements, potential complexity, and specification impacts associated with use case studies, while coordinating with other WGs. More detailed studies, such as signaling, can be deferred until sufficient inputs are available</w:t>
      </w:r>
      <w:r>
        <w:rPr>
          <w:rFonts w:hint="eastAsia"/>
          <w:b/>
          <w:bCs/>
          <w:lang w:val="en-US" w:eastAsia="zh-CN"/>
        </w:rPr>
        <w:t>.</w:t>
      </w:r>
    </w:p>
    <w:p w14:paraId="60C8075D">
      <w:pPr>
        <w:rPr>
          <w:b/>
          <w:bCs/>
          <w:lang w:val="en-US"/>
        </w:rPr>
      </w:pPr>
      <w:r>
        <w:rPr>
          <w:rFonts w:eastAsia="Times New Roman"/>
          <w:b/>
        </w:rPr>
        <w:t>Observation 2: 5G NR offers foundations for 6G AI/ML, including data reporting, feature indication, performance exposure, and lifecycle management. These provide baselines that may be extended to address AI/ML-specific needs such as inference latency, pred</w:t>
      </w:r>
    </w:p>
    <w:p w14:paraId="74CF6CAC">
      <w:pPr>
        <w:spacing w:before="240" w:after="240"/>
        <w:rPr>
          <w:rFonts w:eastAsia="Times New Roman"/>
          <w:b/>
          <w:lang w:val="en-US"/>
        </w:rPr>
      </w:pPr>
      <w:r>
        <w:rPr>
          <w:rFonts w:eastAsia="Times New Roman"/>
          <w:b/>
          <w:bCs/>
        </w:rPr>
        <w:t>Proposal 2 (for RAN3 discussion):</w:t>
      </w:r>
    </w:p>
    <w:p w14:paraId="54890648">
      <w:pPr>
        <w:numPr>
          <w:ilvl w:val="0"/>
          <w:numId w:val="7"/>
        </w:numPr>
        <w:spacing w:after="0" w:line="276" w:lineRule="auto"/>
        <w:rPr>
          <w:rFonts w:eastAsia="Times New Roman"/>
          <w:b/>
          <w:lang w:val="en-US"/>
        </w:rPr>
      </w:pPr>
      <w:r>
        <w:rPr>
          <w:rStyle w:val="48"/>
        </w:rPr>
        <w:t xml:space="preserve">Reference points: </w:t>
      </w:r>
      <w:r>
        <w:rPr>
          <w:rFonts w:eastAsia="Times New Roman"/>
          <w:b/>
          <w:lang w:val="en-US"/>
        </w:rPr>
        <w:t>Study which reference points under RAN3 scope (RAN–CN, inter-node, CU–DU, intra-CU) are most relevant for 6G AI/ML functions.</w:t>
      </w:r>
    </w:p>
    <w:p w14:paraId="27C2E57A">
      <w:pPr>
        <w:numPr>
          <w:ilvl w:val="0"/>
          <w:numId w:val="7"/>
        </w:numPr>
        <w:spacing w:after="0" w:line="276" w:lineRule="auto"/>
        <w:rPr>
          <w:rFonts w:eastAsia="Times New Roman"/>
          <w:b/>
          <w:lang w:val="en-US"/>
        </w:rPr>
      </w:pPr>
      <w:r>
        <w:rPr>
          <w:rFonts w:eastAsia="Times New Roman"/>
          <w:b/>
          <w:lang w:val="en-US"/>
        </w:rPr>
        <w:t>Reporting and indicator exposure: Study whether existing reporting/monitoring procedure</w:t>
      </w:r>
      <w:bookmarkStart w:id="2" w:name="_GoBack"/>
      <w:bookmarkEnd w:id="2"/>
      <w:r>
        <w:rPr>
          <w:rFonts w:eastAsia="Times New Roman"/>
          <w:b/>
          <w:lang w:val="en-US"/>
        </w:rPr>
        <w:t>s are sufficient for AI/ML-related observability, or if additional mechanisms are required.</w:t>
      </w:r>
    </w:p>
    <w:p w14:paraId="7AEA53AE">
      <w:pPr>
        <w:numPr>
          <w:ilvl w:val="0"/>
          <w:numId w:val="7"/>
        </w:numPr>
        <w:spacing w:after="0" w:line="276" w:lineRule="auto"/>
        <w:rPr>
          <w:rFonts w:eastAsia="Times New Roman"/>
          <w:b/>
          <w:lang w:val="en-US"/>
        </w:rPr>
      </w:pPr>
      <w:r>
        <w:rPr>
          <w:rFonts w:eastAsia="Times New Roman"/>
          <w:b/>
          <w:lang w:val="en-US"/>
        </w:rPr>
        <w:t>Model and data transfer: Study how model and data transfer can be efficiently supported in RAN3 procedures, consistent with SA2/SA5 frameworks.</w:t>
      </w:r>
    </w:p>
    <w:p w14:paraId="0A993CAA">
      <w:pPr>
        <w:numPr>
          <w:ilvl w:val="0"/>
          <w:numId w:val="7"/>
        </w:numPr>
        <w:spacing w:after="240" w:line="276" w:lineRule="auto"/>
        <w:rPr>
          <w:rFonts w:eastAsia="Times New Roman"/>
          <w:b/>
          <w:lang w:val="en-US"/>
        </w:rPr>
      </w:pPr>
      <w:r>
        <w:rPr>
          <w:rFonts w:eastAsia="Times New Roman"/>
          <w:b/>
          <w:lang w:val="en-US"/>
        </w:rPr>
        <w:t>Operator control and assurance:</w:t>
      </w:r>
      <w:r>
        <w:rPr>
          <w:rFonts w:eastAsia="Times New Roman"/>
          <w:bCs/>
          <w:lang w:val="en-US"/>
        </w:rPr>
        <w:t xml:space="preserve"> </w:t>
      </w:r>
      <w:r>
        <w:rPr>
          <w:rFonts w:eastAsia="Times New Roman"/>
          <w:b/>
          <w:lang w:val="en-US"/>
        </w:rPr>
        <w:t>Study whether KPI exposure and reporting procedures are sufficient to support assurance in a 6G AI/ML-native context</w:t>
      </w:r>
    </w:p>
    <w:p w14:paraId="5B9CF4B1">
      <w:pPr>
        <w:rPr>
          <w:rFonts w:eastAsia="Times New Roman"/>
          <w:b/>
          <w:bCs/>
          <w:lang w:val="en-US"/>
        </w:rPr>
      </w:pPr>
      <w:r>
        <w:rPr>
          <w:rFonts w:eastAsia="Times New Roman"/>
          <w:b/>
          <w:bCs/>
        </w:rPr>
        <w:t>Proposal 3: It may be useful to first down-select and restudy AI/ML use cases, using Rel-18 and Rel-19 experience as a baseline. Possible areas for consideration include</w:t>
      </w:r>
      <w:r>
        <w:rPr>
          <w:b/>
          <w:bCs/>
        </w:rPr>
        <w:t>:</w:t>
      </w:r>
    </w:p>
    <w:p w14:paraId="2F63FFA5">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Mobility optimization (handover refinement, trajectory prediction).</w:t>
      </w:r>
    </w:p>
    <w:p w14:paraId="2A533283">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Coverage and capacity optimization (CCO) (cell configuration, coverage shaping, load balancing).</w:t>
      </w:r>
    </w:p>
    <w:p w14:paraId="54C58FB3">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Energy saving (AI-supported power management, energy cost metric).</w:t>
      </w:r>
    </w:p>
    <w:p w14:paraId="3A26A423">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Performance reporting and indicator exposure (continuous MDT, KPI exposure).</w:t>
      </w:r>
    </w:p>
    <w:p w14:paraId="7773B1F2">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Network slicing (AI for slice admission, resource adaptation, assurance).</w:t>
      </w:r>
    </w:p>
    <w:p w14:paraId="2C7E8BF3">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b/>
          <w:bCs/>
          <w:sz w:val="20"/>
          <w:szCs w:val="20"/>
        </w:rPr>
        <w:t>AI/ML-Based Predictive Assurance and Resilience (traffic prediction and QoS optimization, early identification of abnormal behavior)</w:t>
      </w:r>
    </w:p>
    <w:p w14:paraId="58C4D8B7">
      <w:pPr>
        <w:pStyle w:val="96"/>
        <w:widowControl/>
        <w:numPr>
          <w:ilvl w:val="0"/>
          <w:numId w:val="10"/>
        </w:numPr>
        <w:spacing w:line="276" w:lineRule="auto"/>
        <w:ind w:leftChars="0"/>
        <w:jc w:val="left"/>
        <w:rPr>
          <w:rFonts w:ascii="Times New Roman" w:hAnsi="Times New Roman" w:eastAsia="Times New Roman"/>
          <w:b/>
          <w:bCs/>
          <w:sz w:val="20"/>
          <w:szCs w:val="20"/>
        </w:rPr>
      </w:pPr>
      <w:r>
        <w:rPr>
          <w:rFonts w:ascii="Times New Roman" w:hAnsi="Times New Roman" w:eastAsia="Times New Roman"/>
          <w:b/>
          <w:bCs/>
          <w:sz w:val="20"/>
          <w:szCs w:val="20"/>
        </w:rPr>
        <w:t>Inter-node coordination (AI-assisted coordination across gNBs).</w:t>
      </w:r>
    </w:p>
    <w:p w14:paraId="51347FC5">
      <w:pPr>
        <w:pStyle w:val="96"/>
        <w:widowControl/>
        <w:spacing w:line="276" w:lineRule="auto"/>
        <w:ind w:left="880" w:leftChars="0"/>
        <w:jc w:val="left"/>
        <w:rPr>
          <w:rFonts w:ascii="Times New Roman" w:hAnsi="Times New Roman" w:eastAsia="Times New Roman"/>
          <w:b/>
          <w:bCs/>
          <w:sz w:val="20"/>
          <w:szCs w:val="20"/>
        </w:rPr>
      </w:pPr>
    </w:p>
    <w:p w14:paraId="12BAB6FB">
      <w:pPr>
        <w:rPr>
          <w:b/>
          <w:bCs/>
          <w:lang w:val="en-US"/>
        </w:rPr>
      </w:pPr>
      <w:r>
        <w:rPr>
          <w:rFonts w:eastAsia="Times New Roman"/>
          <w:b/>
          <w:bCs/>
          <w:color w:val="000000"/>
        </w:rPr>
        <w:t xml:space="preserve">Proposal 3: </w:t>
      </w:r>
      <w:r>
        <w:rPr>
          <w:b/>
          <w:bCs/>
        </w:rPr>
        <w:t>It may be useful to restudy and extend baseline AI/ML use cases for 6G. Possible extensions could include:</w:t>
      </w:r>
    </w:p>
    <w:p w14:paraId="200A6E23">
      <w:pPr>
        <w:numPr>
          <w:ilvl w:val="0"/>
          <w:numId w:val="11"/>
        </w:numPr>
        <w:spacing w:before="240" w:after="0" w:line="276" w:lineRule="auto"/>
        <w:ind w:left="528" w:leftChars="264"/>
        <w:rPr>
          <w:rFonts w:eastAsia="Times New Roman"/>
          <w:b/>
        </w:rPr>
      </w:pPr>
      <w:r>
        <w:rPr>
          <w:rFonts w:eastAsia="Times New Roman"/>
          <w:b/>
        </w:rPr>
        <w:t>Mobility optimization in new environments (e.g., non-terrestrial networks, XR continuity, high-speed large-scale mobility).</w:t>
      </w:r>
    </w:p>
    <w:p w14:paraId="4B2FFBF9">
      <w:pPr>
        <w:numPr>
          <w:ilvl w:val="0"/>
          <w:numId w:val="11"/>
        </w:numPr>
        <w:spacing w:after="0" w:line="276" w:lineRule="auto"/>
        <w:ind w:left="528" w:leftChars="264"/>
        <w:rPr>
          <w:rFonts w:eastAsia="Times New Roman"/>
          <w:b/>
        </w:rPr>
      </w:pPr>
      <w:r>
        <w:rPr>
          <w:rFonts w:eastAsia="Times New Roman"/>
          <w:b/>
        </w:rPr>
        <w:t>Coverage and capacity optimization (CCO) in complex topologies (ultra-dense deployments, distributed/multi-site architectures, IoT connectivity).</w:t>
      </w:r>
    </w:p>
    <w:p w14:paraId="0AE24F56">
      <w:pPr>
        <w:numPr>
          <w:ilvl w:val="0"/>
          <w:numId w:val="11"/>
        </w:numPr>
        <w:spacing w:after="0" w:line="276" w:lineRule="auto"/>
        <w:ind w:left="528" w:leftChars="264"/>
        <w:rPr>
          <w:rFonts w:eastAsia="Times New Roman"/>
          <w:b/>
        </w:rPr>
      </w:pPr>
      <w:r>
        <w:rPr>
          <w:rFonts w:eastAsia="Times New Roman"/>
          <w:b/>
        </w:rPr>
        <w:t>Exposure of AI/ML-related performance indicators (e.g., inference latency, prediction accuracy, model execution efficiency).</w:t>
      </w:r>
    </w:p>
    <w:p w14:paraId="270A3B7C">
      <w:pPr>
        <w:numPr>
          <w:ilvl w:val="0"/>
          <w:numId w:val="11"/>
        </w:numPr>
        <w:spacing w:after="0" w:line="276" w:lineRule="auto"/>
        <w:ind w:left="528" w:leftChars="264"/>
        <w:rPr>
          <w:rFonts w:eastAsia="Times New Roman"/>
          <w:b/>
        </w:rPr>
      </w:pPr>
      <w:r>
        <w:rPr>
          <w:rFonts w:eastAsia="Times New Roman"/>
          <w:b/>
        </w:rPr>
        <w:t>AI/ML-assisted resilience (extending anomaly/fault detection toward predictive assurance and service continuity).</w:t>
      </w:r>
    </w:p>
    <w:p w14:paraId="67F399BF">
      <w:pPr>
        <w:numPr>
          <w:ilvl w:val="0"/>
          <w:numId w:val="11"/>
        </w:numPr>
        <w:spacing w:after="240" w:line="276" w:lineRule="auto"/>
        <w:ind w:left="528" w:leftChars="264"/>
        <w:rPr>
          <w:rFonts w:eastAsia="Times New Roman"/>
          <w:b/>
        </w:rPr>
      </w:pPr>
      <w:r>
        <w:rPr>
          <w:rFonts w:eastAsia="Times New Roman"/>
          <w:b/>
        </w:rPr>
        <w:t>AI/ML-assisted resilience (extending anomaly/fault detection toward predictive assurance and service continuity).</w:t>
      </w:r>
    </w:p>
    <w:p w14:paraId="0AAEDB6D">
      <w:pPr>
        <w:pStyle w:val="2"/>
      </w:pPr>
      <w:r>
        <w:t>4</w:t>
      </w:r>
      <w:r>
        <w:tab/>
      </w:r>
      <w:r>
        <w:t>Reference</w:t>
      </w:r>
    </w:p>
    <w:p w14:paraId="6ACD6B33">
      <w:pPr>
        <w:spacing w:before="240" w:after="240"/>
        <w:ind w:left="200" w:leftChars="100"/>
        <w:rPr>
          <w:iCs/>
          <w:lang w:val="en-US"/>
        </w:rPr>
      </w:pPr>
      <w:r>
        <w:rPr>
          <w:iCs/>
          <w:lang w:val="en-US"/>
        </w:rPr>
        <w:t>[1] 3GPP TR 37.817: Study on Artificial Intelligence (AI)/Machine Learning (ML) for NG-RAN and 5GC (Release 18).</w:t>
      </w:r>
    </w:p>
    <w:p w14:paraId="6596660E">
      <w:pPr>
        <w:spacing w:before="240" w:after="240"/>
        <w:ind w:left="200" w:leftChars="100"/>
        <w:rPr>
          <w:iCs/>
          <w:lang w:val="en-US"/>
        </w:rPr>
      </w:pPr>
      <w:r>
        <w:rPr>
          <w:iCs/>
          <w:lang w:val="en-US"/>
        </w:rPr>
        <w:t>[2] 3GPP TR 38.843: Study on AI/ML for NR Air Interface (Release 18).</w:t>
      </w:r>
    </w:p>
    <w:p w14:paraId="55D621E4">
      <w:pPr>
        <w:spacing w:before="240" w:after="240"/>
        <w:ind w:left="200" w:leftChars="100"/>
        <w:rPr>
          <w:iCs/>
          <w:lang w:val="en-US"/>
        </w:rPr>
      </w:pPr>
      <w:r>
        <w:rPr>
          <w:iCs/>
          <w:lang w:val="en-US"/>
        </w:rPr>
        <w:t>[3] 3GPP TR 38.743: Study on AI/ML for NG-RAN (Release 19).</w:t>
      </w:r>
    </w:p>
    <w:p w14:paraId="12DF1CDF">
      <w:pPr>
        <w:spacing w:before="240" w:after="240"/>
        <w:ind w:left="200" w:leftChars="100"/>
        <w:rPr>
          <w:iCs/>
          <w:lang w:val="en-US"/>
        </w:rPr>
      </w:pPr>
      <w:r>
        <w:rPr>
          <w:iCs/>
          <w:lang w:val="en-US"/>
        </w:rPr>
        <w:t>[4] 3GPP TR 38.914: Study on Scenarios and Requirements for Next Generation Access Technology (Release 20).</w:t>
      </w:r>
    </w:p>
    <w:p w14:paraId="14633FDA">
      <w:pPr>
        <w:spacing w:before="240" w:after="240"/>
        <w:ind w:left="200" w:leftChars="100"/>
        <w:rPr>
          <w:iCs/>
          <w:lang w:val="en-US"/>
        </w:rPr>
      </w:pPr>
      <w:r>
        <w:rPr>
          <w:iCs/>
          <w:lang w:val="en-US"/>
        </w:rPr>
        <w:t>[5] 3GPP RP-252912: Study on 6G Radio Access Network (FS_6G_Radio).</w:t>
      </w:r>
    </w:p>
    <w:p w14:paraId="3E954172">
      <w:pPr>
        <w:spacing w:before="240" w:after="240"/>
        <w:ind w:left="200" w:leftChars="100"/>
        <w:rPr>
          <w:iCs/>
          <w:lang w:val="en-US"/>
        </w:rPr>
      </w:pPr>
      <w:r>
        <w:rPr>
          <w:iCs/>
          <w:lang w:val="en-US"/>
        </w:rPr>
        <w:t>[6] 3GPP SP-250806: Study on 6G System (including data framework, SA2/SA5 aspects)</w:t>
      </w:r>
    </w:p>
    <w:p w14:paraId="2366ED18">
      <w:pPr>
        <w:rPr>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F07577"/>
    <w:multiLevelType w:val="multilevel"/>
    <w:tmpl w:val="17F07577"/>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1">
    <w:nsid w:val="2F6622AD"/>
    <w:multiLevelType w:val="multilevel"/>
    <w:tmpl w:val="2F6622AD"/>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2">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3">
    <w:nsid w:val="3DA40B8D"/>
    <w:multiLevelType w:val="multilevel"/>
    <w:tmpl w:val="3DA40B8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43A420D8"/>
    <w:multiLevelType w:val="multilevel"/>
    <w:tmpl w:val="43A420D8"/>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45924697"/>
    <w:multiLevelType w:val="multilevel"/>
    <w:tmpl w:val="4592469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4A4C13C5"/>
    <w:multiLevelType w:val="multilevel"/>
    <w:tmpl w:val="4A4C13C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83539FB"/>
    <w:multiLevelType w:val="multilevel"/>
    <w:tmpl w:val="583539FB"/>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9">
    <w:nsid w:val="669A621C"/>
    <w:multiLevelType w:val="multilevel"/>
    <w:tmpl w:val="669A621C"/>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7"/>
  </w:num>
  <w:num w:numId="3">
    <w:abstractNumId w:val="2"/>
  </w:num>
  <w:num w:numId="4">
    <w:abstractNumId w:val="9"/>
  </w:num>
  <w:num w:numId="5">
    <w:abstractNumId w:val="5"/>
  </w:num>
  <w:num w:numId="6">
    <w:abstractNumId w:val="6"/>
  </w:num>
  <w:num w:numId="7">
    <w:abstractNumId w:val="3"/>
  </w:num>
  <w:num w:numId="8">
    <w:abstractNumId w:val="0"/>
  </w:num>
  <w:num w:numId="9">
    <w:abstractNumId w:val="8"/>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69CF"/>
    <w:rsid w:val="001F70B7"/>
    <w:rsid w:val="0020434B"/>
    <w:rsid w:val="00207DBB"/>
    <w:rsid w:val="002112F6"/>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C6D63"/>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A7E9D"/>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201D"/>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4A5F"/>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13C"/>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3541"/>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57B8"/>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38A"/>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5644"/>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1271"/>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084A"/>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9B5E30"/>
    <w:rsid w:val="01BC1A55"/>
    <w:rsid w:val="03151250"/>
    <w:rsid w:val="035E32C9"/>
    <w:rsid w:val="04A42800"/>
    <w:rsid w:val="0538129B"/>
    <w:rsid w:val="05F30C0E"/>
    <w:rsid w:val="078801B7"/>
    <w:rsid w:val="089827F7"/>
    <w:rsid w:val="0A7D0A04"/>
    <w:rsid w:val="0B9659AE"/>
    <w:rsid w:val="0DD877C0"/>
    <w:rsid w:val="0EEB791A"/>
    <w:rsid w:val="0F2F1860"/>
    <w:rsid w:val="10C96F1B"/>
    <w:rsid w:val="116161D4"/>
    <w:rsid w:val="11FA69E3"/>
    <w:rsid w:val="12BD523F"/>
    <w:rsid w:val="144A26DA"/>
    <w:rsid w:val="1460703E"/>
    <w:rsid w:val="18746E67"/>
    <w:rsid w:val="192C3455"/>
    <w:rsid w:val="19502541"/>
    <w:rsid w:val="19EC349C"/>
    <w:rsid w:val="1CEF0D86"/>
    <w:rsid w:val="1F8765F8"/>
    <w:rsid w:val="1FA952C7"/>
    <w:rsid w:val="1FC7509C"/>
    <w:rsid w:val="1FFB648C"/>
    <w:rsid w:val="219F01E6"/>
    <w:rsid w:val="235A5E8C"/>
    <w:rsid w:val="23901659"/>
    <w:rsid w:val="28D90AB0"/>
    <w:rsid w:val="29956117"/>
    <w:rsid w:val="2B21797E"/>
    <w:rsid w:val="2CBC390B"/>
    <w:rsid w:val="300E2BAA"/>
    <w:rsid w:val="314F32CC"/>
    <w:rsid w:val="329636BC"/>
    <w:rsid w:val="33D1452E"/>
    <w:rsid w:val="35041886"/>
    <w:rsid w:val="3B68165F"/>
    <w:rsid w:val="3C606FAD"/>
    <w:rsid w:val="3C9C1A33"/>
    <w:rsid w:val="3D9F3012"/>
    <w:rsid w:val="3DF37185"/>
    <w:rsid w:val="3E3F4BE2"/>
    <w:rsid w:val="3E9D3518"/>
    <w:rsid w:val="3F255260"/>
    <w:rsid w:val="40DA600E"/>
    <w:rsid w:val="440B2AE4"/>
    <w:rsid w:val="4412278D"/>
    <w:rsid w:val="44505224"/>
    <w:rsid w:val="47152E70"/>
    <w:rsid w:val="482A1D2F"/>
    <w:rsid w:val="48636D1F"/>
    <w:rsid w:val="4BEB73D9"/>
    <w:rsid w:val="4D091BE9"/>
    <w:rsid w:val="4D473E82"/>
    <w:rsid w:val="4E7C12BE"/>
    <w:rsid w:val="4EC17902"/>
    <w:rsid w:val="4EF83441"/>
    <w:rsid w:val="502A0E54"/>
    <w:rsid w:val="53193986"/>
    <w:rsid w:val="534A6124"/>
    <w:rsid w:val="53B042EA"/>
    <w:rsid w:val="557B3ACF"/>
    <w:rsid w:val="56A243B3"/>
    <w:rsid w:val="56B707A5"/>
    <w:rsid w:val="571A7F01"/>
    <w:rsid w:val="59584C77"/>
    <w:rsid w:val="5C08300B"/>
    <w:rsid w:val="5E6D7CEB"/>
    <w:rsid w:val="5E784853"/>
    <w:rsid w:val="5F2D12D6"/>
    <w:rsid w:val="5F4911BC"/>
    <w:rsid w:val="5F525E46"/>
    <w:rsid w:val="628107E1"/>
    <w:rsid w:val="640843A9"/>
    <w:rsid w:val="64156E86"/>
    <w:rsid w:val="64543F07"/>
    <w:rsid w:val="64FA255C"/>
    <w:rsid w:val="65656FD9"/>
    <w:rsid w:val="665C191E"/>
    <w:rsid w:val="666C3D89"/>
    <w:rsid w:val="67634D4B"/>
    <w:rsid w:val="697957C4"/>
    <w:rsid w:val="6EF51F98"/>
    <w:rsid w:val="6F52088C"/>
    <w:rsid w:val="719A5A6F"/>
    <w:rsid w:val="72064345"/>
    <w:rsid w:val="723B009E"/>
    <w:rsid w:val="72C53ED8"/>
    <w:rsid w:val="73241F63"/>
    <w:rsid w:val="7430495F"/>
    <w:rsid w:val="759A6034"/>
    <w:rsid w:val="78A44781"/>
    <w:rsid w:val="799C1C8B"/>
    <w:rsid w:val="7A04333D"/>
    <w:rsid w:val="7A1B0FF2"/>
    <w:rsid w:val="7AD12E1D"/>
    <w:rsid w:val="7B3F3833"/>
    <w:rsid w:val="7B9243CB"/>
    <w:rsid w:val="7D1F0063"/>
    <w:rsid w:val="7E9A442C"/>
    <w:rsid w:val="7EDB4AD0"/>
    <w:rsid w:val="7FE44BE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3"/>
    <w:next w:val="1"/>
    <w:link w:val="128"/>
    <w:qFormat/>
    <w:uiPriority w:val="0"/>
    <w:pPr>
      <w:keepNext/>
      <w:keepLines/>
      <w:pBdr>
        <w:top w:val="single" w:color="auto" w:sz="12" w:space="3"/>
      </w:pBdr>
      <w:spacing w:before="240"/>
      <w:ind w:left="1134" w:hanging="1134"/>
      <w:outlineLvl w:val="0"/>
    </w:pPr>
    <w:rPr>
      <w:sz w:val="36"/>
      <w:lang w:eastAsia="en-US"/>
    </w:rPr>
  </w:style>
  <w:style w:type="paragraph" w:styleId="4">
    <w:name w:val="heading 2"/>
    <w:basedOn w:val="1"/>
    <w:next w:val="1"/>
    <w:link w:val="129"/>
    <w:qFormat/>
    <w:uiPriority w:val="0"/>
    <w:pPr>
      <w:spacing w:before="180"/>
      <w:outlineLvl w:val="1"/>
    </w:pPr>
    <w:rPr>
      <w:sz w:val="32"/>
    </w:rPr>
  </w:style>
  <w:style w:type="paragraph" w:styleId="5">
    <w:name w:val="heading 3"/>
    <w:basedOn w:val="1"/>
    <w:next w:val="1"/>
    <w:link w:val="178"/>
    <w:qFormat/>
    <w:uiPriority w:val="0"/>
    <w:pPr>
      <w:spacing w:before="120"/>
      <w:outlineLvl w:val="2"/>
    </w:pPr>
    <w:rPr>
      <w:sz w:val="28"/>
    </w:rPr>
  </w:style>
  <w:style w:type="paragraph" w:styleId="6">
    <w:name w:val="heading 4"/>
    <w:basedOn w:val="1"/>
    <w:next w:val="1"/>
    <w:link w:val="131"/>
    <w:qFormat/>
    <w:uiPriority w:val="0"/>
    <w:pPr>
      <w:ind w:left="1418" w:hanging="1418"/>
      <w:outlineLvl w:val="3"/>
    </w:pPr>
    <w:rPr>
      <w:sz w:val="24"/>
    </w:rPr>
  </w:style>
  <w:style w:type="paragraph" w:styleId="7">
    <w:name w:val="heading 5"/>
    <w:basedOn w:val="6"/>
    <w:next w:val="1"/>
    <w:link w:val="132"/>
    <w:qFormat/>
    <w:uiPriority w:val="0"/>
    <w:pPr>
      <w:ind w:left="1701" w:hanging="1701"/>
      <w:outlineLvl w:val="4"/>
    </w:pPr>
    <w:rPr>
      <w:sz w:val="22"/>
    </w:rPr>
  </w:style>
  <w:style w:type="paragraph" w:styleId="8">
    <w:name w:val="heading 6"/>
    <w:basedOn w:val="9"/>
    <w:next w:val="1"/>
    <w:link w:val="133"/>
    <w:qFormat/>
    <w:uiPriority w:val="0"/>
    <w:pPr>
      <w:outlineLvl w:val="5"/>
    </w:pPr>
  </w:style>
  <w:style w:type="paragraph" w:styleId="10">
    <w:name w:val="heading 7"/>
    <w:basedOn w:val="9"/>
    <w:next w:val="1"/>
    <w:link w:val="134"/>
    <w:qFormat/>
    <w:uiPriority w:val="0"/>
    <w:pPr>
      <w:outlineLvl w:val="6"/>
    </w:pPr>
  </w:style>
  <w:style w:type="paragraph" w:styleId="11">
    <w:name w:val="heading 8"/>
    <w:basedOn w:val="2"/>
    <w:next w:val="1"/>
    <w:link w:val="135"/>
    <w:qFormat/>
    <w:uiPriority w:val="0"/>
    <w:pPr>
      <w:ind w:left="0" w:firstLine="0"/>
      <w:outlineLvl w:val="7"/>
    </w:pPr>
  </w:style>
  <w:style w:type="paragraph" w:styleId="12">
    <w:name w:val="heading 9"/>
    <w:basedOn w:val="11"/>
    <w:next w:val="1"/>
    <w:link w:val="136"/>
    <w:qFormat/>
    <w:uiPriority w:val="0"/>
    <w:pPr>
      <w:outlineLvl w:val="8"/>
    </w:pPr>
  </w:style>
  <w:style w:type="character" w:default="1" w:styleId="47">
    <w:name w:val="Default Paragraph Font"/>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91"/>
    <w:qFormat/>
    <w:uiPriority w:val="0"/>
    <w:pPr>
      <w:widowControl w:val="0"/>
      <w:overflowPunct w:val="0"/>
      <w:autoSpaceDE w:val="0"/>
      <w:autoSpaceDN w:val="0"/>
      <w:adjustRightInd w:val="0"/>
      <w:textAlignment w:val="baseline"/>
    </w:pPr>
    <w:rPr>
      <w:rFonts w:ascii="Arial" w:hAnsi="Arial"/>
      <w:b/>
      <w:sz w:val="18"/>
      <w:lang w:eastAsia="ja-JP"/>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rPr>
      <w:rFonts w:eastAsiaTheme="minorEastAsia"/>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30">
    <w:name w:val="Document Map"/>
    <w:basedOn w:val="1"/>
    <w:link w:val="94"/>
    <w:qFormat/>
    <w:uiPriority w:val="0"/>
    <w:rPr>
      <w:rFonts w:ascii="Tahoma" w:hAnsi="Tahoma" w:cs="Tahoma"/>
      <w:sz w:val="16"/>
      <w:szCs w:val="16"/>
    </w:rPr>
  </w:style>
  <w:style w:type="paragraph" w:styleId="31">
    <w:name w:val="annotation text"/>
    <w:basedOn w:val="1"/>
    <w:link w:val="124"/>
    <w:qFormat/>
    <w:uiPriority w:val="0"/>
  </w:style>
  <w:style w:type="paragraph" w:styleId="32">
    <w:name w:val="Body Text"/>
    <w:basedOn w:val="1"/>
    <w:link w:val="161"/>
    <w:qFormat/>
    <w:uiPriority w:val="0"/>
    <w:pPr>
      <w:spacing w:after="120"/>
    </w:pPr>
  </w:style>
  <w:style w:type="paragraph" w:styleId="33">
    <w:name w:val="List Bullet 5"/>
    <w:basedOn w:val="25"/>
    <w:qFormat/>
    <w:uiPriority w:val="0"/>
    <w:pPr>
      <w:ind w:left="1702"/>
    </w:pPr>
  </w:style>
  <w:style w:type="paragraph" w:styleId="34">
    <w:name w:val="toc 8"/>
    <w:basedOn w:val="22"/>
    <w:qFormat/>
    <w:uiPriority w:val="39"/>
    <w:pPr>
      <w:spacing w:before="180"/>
      <w:ind w:left="2693" w:hanging="2693"/>
    </w:pPr>
    <w:rPr>
      <w:b/>
    </w:rPr>
  </w:style>
  <w:style w:type="paragraph" w:styleId="35">
    <w:name w:val="Balloon Text"/>
    <w:basedOn w:val="1"/>
    <w:link w:val="115"/>
    <w:semiHidden/>
    <w:unhideWhenUsed/>
    <w:qFormat/>
    <w:uiPriority w:val="0"/>
    <w:pPr>
      <w:spacing w:after="0"/>
    </w:pPr>
    <w:rPr>
      <w:rFonts w:ascii="Microsoft YaHei UI" w:eastAsia="Microsoft YaHei UI"/>
      <w:sz w:val="18"/>
      <w:szCs w:val="18"/>
    </w:rPr>
  </w:style>
  <w:style w:type="paragraph" w:styleId="36">
    <w:name w:val="footer"/>
    <w:basedOn w:val="3"/>
    <w:link w:val="137"/>
    <w:qFormat/>
    <w:uiPriority w:val="0"/>
    <w:pPr>
      <w:jc w:val="center"/>
    </w:pPr>
    <w:rPr>
      <w:i/>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4"/>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1"/>
    <w:next w:val="31"/>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5"/>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页眉 字符"/>
    <w:link w:val="3"/>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文档结构图 字符"/>
    <w:link w:val="30"/>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7">
    <w:name w:val="列表段落 字符"/>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批注框文本 字符"/>
    <w:basedOn w:val="47"/>
    <w:link w:val="35"/>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等线"/>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宋体"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批注文字 字符"/>
    <w:basedOn w:val="47"/>
    <w:link w:val="31"/>
    <w:qFormat/>
    <w:uiPriority w:val="0"/>
    <w:rPr>
      <w:lang w:val="en-GB" w:eastAsia="en-US"/>
    </w:rPr>
  </w:style>
  <w:style w:type="character" w:customStyle="1" w:styleId="125">
    <w:name w:val="批注主题 字符"/>
    <w:basedOn w:val="124"/>
    <w:link w:val="44"/>
    <w:qFormat/>
    <w:uiPriority w:val="0"/>
    <w:rPr>
      <w:b/>
      <w:bCs/>
      <w:lang w:val="en-GB" w:eastAsia="en-US"/>
    </w:rPr>
  </w:style>
  <w:style w:type="character" w:customStyle="1" w:styleId="126">
    <w:name w:val="脚注文本 字符"/>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标题 1 字符"/>
    <w:basedOn w:val="47"/>
    <w:link w:val="2"/>
    <w:qFormat/>
    <w:uiPriority w:val="0"/>
    <w:rPr>
      <w:rFonts w:ascii="Arial" w:hAnsi="Arial"/>
      <w:sz w:val="36"/>
      <w:lang w:val="en-GB" w:eastAsia="en-US"/>
    </w:rPr>
  </w:style>
  <w:style w:type="character" w:customStyle="1" w:styleId="129">
    <w:name w:val="标题 2 字符"/>
    <w:basedOn w:val="47"/>
    <w:link w:val="4"/>
    <w:qFormat/>
    <w:uiPriority w:val="0"/>
    <w:rPr>
      <w:rFonts w:ascii="Arial" w:hAnsi="Arial"/>
      <w:sz w:val="32"/>
      <w:lang w:val="en-GB" w:eastAsia="en-US"/>
    </w:rPr>
  </w:style>
  <w:style w:type="character" w:customStyle="1" w:styleId="130">
    <w:name w:val="Heading 3 Char"/>
    <w:basedOn w:val="47"/>
    <w:qFormat/>
    <w:uiPriority w:val="0"/>
    <w:rPr>
      <w:rFonts w:ascii="Arial" w:hAnsi="Arial"/>
      <w:sz w:val="28"/>
      <w:lang w:val="en-GB" w:eastAsia="en-US"/>
    </w:rPr>
  </w:style>
  <w:style w:type="character" w:customStyle="1" w:styleId="131">
    <w:name w:val="标题 4 字符"/>
    <w:basedOn w:val="47"/>
    <w:link w:val="6"/>
    <w:qFormat/>
    <w:uiPriority w:val="0"/>
    <w:rPr>
      <w:rFonts w:ascii="Arial" w:hAnsi="Arial"/>
      <w:sz w:val="24"/>
      <w:lang w:val="en-GB" w:eastAsia="en-US"/>
    </w:rPr>
  </w:style>
  <w:style w:type="character" w:customStyle="1" w:styleId="132">
    <w:name w:val="标题 5 字符"/>
    <w:basedOn w:val="47"/>
    <w:link w:val="7"/>
    <w:qFormat/>
    <w:uiPriority w:val="0"/>
    <w:rPr>
      <w:rFonts w:ascii="Arial" w:hAnsi="Arial"/>
      <w:sz w:val="22"/>
      <w:lang w:val="en-GB" w:eastAsia="en-US"/>
    </w:rPr>
  </w:style>
  <w:style w:type="character" w:customStyle="1" w:styleId="133">
    <w:name w:val="标题 6 字符"/>
    <w:basedOn w:val="47"/>
    <w:link w:val="8"/>
    <w:qFormat/>
    <w:uiPriority w:val="0"/>
    <w:rPr>
      <w:rFonts w:ascii="Arial" w:hAnsi="Arial"/>
      <w:lang w:val="en-GB" w:eastAsia="en-US"/>
    </w:rPr>
  </w:style>
  <w:style w:type="character" w:customStyle="1" w:styleId="134">
    <w:name w:val="标题 7 字符"/>
    <w:basedOn w:val="47"/>
    <w:link w:val="10"/>
    <w:qFormat/>
    <w:uiPriority w:val="0"/>
    <w:rPr>
      <w:rFonts w:ascii="Arial" w:hAnsi="Arial"/>
      <w:lang w:val="en-GB" w:eastAsia="en-US"/>
    </w:rPr>
  </w:style>
  <w:style w:type="character" w:customStyle="1" w:styleId="135">
    <w:name w:val="标题 8 字符"/>
    <w:basedOn w:val="47"/>
    <w:link w:val="11"/>
    <w:qFormat/>
    <w:uiPriority w:val="0"/>
    <w:rPr>
      <w:rFonts w:ascii="Arial" w:hAnsi="Arial"/>
      <w:sz w:val="36"/>
      <w:lang w:val="en-GB" w:eastAsia="en-US"/>
    </w:rPr>
  </w:style>
  <w:style w:type="character" w:customStyle="1" w:styleId="136">
    <w:name w:val="标题 9 字符"/>
    <w:basedOn w:val="47"/>
    <w:link w:val="12"/>
    <w:qFormat/>
    <w:uiPriority w:val="0"/>
    <w:rPr>
      <w:rFonts w:ascii="Arial" w:hAnsi="Arial"/>
      <w:sz w:val="36"/>
      <w:lang w:val="en-GB" w:eastAsia="en-US"/>
    </w:rPr>
  </w:style>
  <w:style w:type="character" w:customStyle="1" w:styleId="137">
    <w:name w:val="页脚 字符"/>
    <w:basedOn w:val="47"/>
    <w:link w:val="36"/>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2"/>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正文文本 字符"/>
    <w:basedOn w:val="47"/>
    <w:link w:val="32"/>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1"/>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eastAsia="Times New Roman"/>
    </w:rPr>
  </w:style>
  <w:style w:type="paragraph" w:customStyle="1" w:styleId="175">
    <w:name w:val="proposal text"/>
    <w:basedOn w:val="1"/>
    <w:qFormat/>
    <w:uiPriority w:val="0"/>
    <w:pPr>
      <w:overflowPunct w:val="0"/>
      <w:autoSpaceDE w:val="0"/>
      <w:autoSpaceDN w:val="0"/>
      <w:adjustRightInd w:val="0"/>
      <w:textAlignment w:val="baseline"/>
    </w:pPr>
    <w:rPr>
      <w:lang w:eastAsia="zh-CN"/>
    </w:rPr>
  </w:style>
  <w:style w:type="paragraph" w:customStyle="1" w:styleId="176">
    <w:name w:val="LSHeader"/>
    <w:qFormat/>
    <w:uiPriority w:val="0"/>
    <w:pPr>
      <w:tabs>
        <w:tab w:val="right" w:pos="9781"/>
      </w:tabs>
    </w:pPr>
    <w:rPr>
      <w:rFonts w:ascii="Arial" w:hAnsi="Arial" w:eastAsia="Times New Roman" w:cs="Times New Roman"/>
      <w:b/>
      <w:sz w:val="24"/>
      <w:lang w:val="en-GB" w:eastAsia="en-GB" w:bidi="ar-SA"/>
    </w:rPr>
  </w:style>
  <w:style w:type="paragraph" w:customStyle="1" w:styleId="177">
    <w:name w:val="Obs-prop"/>
    <w:basedOn w:val="1"/>
    <w:next w:val="1"/>
    <w:qFormat/>
    <w:uiPriority w:val="0"/>
    <w:pPr>
      <w:spacing w:after="160"/>
    </w:pPr>
    <w:rPr>
      <w:rFonts w:eastAsiaTheme="minorHAnsi" w:cstheme="minorBidi"/>
      <w:b/>
      <w:bCs/>
      <w:szCs w:val="22"/>
    </w:rPr>
  </w:style>
  <w:style w:type="character" w:customStyle="1" w:styleId="178">
    <w:name w:val="标题 3 字符"/>
    <w:basedOn w:val="47"/>
    <w:link w:val="5"/>
    <w:qFormat/>
    <w:uiPriority w:val="9"/>
    <w:rPr>
      <w:color w:val="434343"/>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7</Pages>
  <Words>2825</Words>
  <Characters>18015</Characters>
  <Lines>148</Lines>
  <Paragraphs>41</Paragraphs>
  <TotalTime>1</TotalTime>
  <ScaleCrop>false</ScaleCrop>
  <LinksUpToDate>false</LinksUpToDate>
  <CharactersWithSpaces>20686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2025-10-03T04:46:58Z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2052-12.1.0.22529</vt:lpwstr>
  </property>
  <property fmtid="{D5CDD505-2E9C-101B-9397-08002B2CF9AE}" pid="6" name="ICV">
    <vt:lpwstr>5A8F7746F1F3471A9E00D007927ACE00_13</vt:lpwstr>
  </property>
  <property fmtid="{D5CDD505-2E9C-101B-9397-08002B2CF9AE}" pid="7" name="CWM134e80a09da211f080004f0700004f07">
    <vt:lpwstr>CWMOa/PT01iQ5oF88EjG4BVc5Yr7kc/GwVgttW0ik3Cnpt8ra50aK1MRxsZ0Tp2U8N0QwSgbu02GG7srJmzYy/MeA==</vt:lpwstr>
  </property>
  <property fmtid="{D5CDD505-2E9C-101B-9397-08002B2CF9AE}" pid="8" name="CWM74c69bd09fb711f080000fcd00000fcd">
    <vt:lpwstr>CWMZGkkHJjoGGR9EP6da2OsZKqYcQ66i+Mva5sjicl3xcQNyIzC8c8Ogx5zGVKFYF6PYxa4DCoe+nHZnVw5z6gkWQ==</vt:lpwstr>
  </property>
  <property fmtid="{D5CDD505-2E9C-101B-9397-08002B2CF9AE}" pid="9" name="CWM14fccde0a00811f080006f0800006e08">
    <vt:lpwstr>CWMVbArYGSg9/AWDSFhWRV5ZVIPj7MdZtqTJ7X7DO90MBU4pt3VBWIiiUJgBn06gvpUuT3f2tuMV93r57o0G3LZ7w==</vt:lpwstr>
  </property>
</Properties>
</file>